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5"/>
        <w:rPr>
          <w:sz w:val="20"/>
        </w:rPr>
      </w:pPr>
      <w:r>
        <w:rPr>
          <w:sz w:val="20"/>
        </w:rPr>
        <mc:AlternateContent>
          <mc:Choice Requires="wps">
            <w:drawing>
              <wp:anchor distT="0" distB="0" distL="0" distR="0" allowOverlap="1" layoutInCell="1" locked="0" behindDoc="0" simplePos="0" relativeHeight="15729664">
                <wp:simplePos x="0" y="0"/>
                <wp:positionH relativeFrom="page">
                  <wp:posOffset>270575</wp:posOffset>
                </wp:positionH>
                <wp:positionV relativeFrom="page">
                  <wp:posOffset>1114363</wp:posOffset>
                </wp:positionV>
                <wp:extent cx="146050" cy="92100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305176pt;margin-top:87.745193pt;width:11.5pt;height:725.2pt;mso-position-horizontal-relative:page;mso-position-vertical-relative:page;z-index:15729664" type="#_x0000_t202" id="docshape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0"/>
        </w:rPr>
        <w:drawing>
          <wp:inline distT="0" distB="0" distL="0" distR="0">
            <wp:extent cx="1527695" cy="420624"/>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527695" cy="420624"/>
                    </a:xfrm>
                    <a:prstGeom prst="rect">
                      <a:avLst/>
                    </a:prstGeom>
                  </pic:spPr>
                </pic:pic>
              </a:graphicData>
            </a:graphic>
          </wp:inline>
        </w:drawing>
      </w:r>
      <w:r>
        <w:rPr>
          <w:sz w:val="20"/>
        </w:rPr>
      </w:r>
    </w:p>
    <w:p>
      <w:pPr>
        <w:pStyle w:val="BodyText"/>
        <w:spacing w:before="52"/>
        <w:rPr>
          <w:sz w:val="18"/>
        </w:rPr>
      </w:pPr>
    </w:p>
    <w:p>
      <w:pPr>
        <w:spacing w:before="0"/>
        <w:ind w:left="0" w:right="161" w:firstLine="0"/>
        <w:jc w:val="right"/>
        <w:rPr>
          <w:rFonts w:ascii="Arial"/>
          <w:b/>
          <w:sz w:val="18"/>
        </w:rPr>
      </w:pPr>
      <w:r>
        <w:rPr>
          <w:rFonts w:ascii="Arial"/>
          <w:b/>
          <w:sz w:val="18"/>
        </w:rPr>
        <mc:AlternateContent>
          <mc:Choice Requires="wps">
            <w:drawing>
              <wp:anchor distT="0" distB="0" distL="0" distR="0" allowOverlap="1" layoutInCell="1" locked="0" behindDoc="1" simplePos="0" relativeHeight="487587840">
                <wp:simplePos x="0" y="0"/>
                <wp:positionH relativeFrom="page">
                  <wp:posOffset>896416</wp:posOffset>
                </wp:positionH>
                <wp:positionV relativeFrom="paragraph">
                  <wp:posOffset>144283</wp:posOffset>
                </wp:positionV>
                <wp:extent cx="576961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0.584pt;margin-top:11.360879pt;width:454.27pt;height:.72pt;mso-position-horizontal-relative:page;mso-position-vertical-relative:paragraph;z-index:-15728640;mso-wrap-distance-left:0;mso-wrap-distance-right:0" id="docshape2" filled="true" fillcolor="#585858" stroked="false">
                <v:fill type="solid"/>
                <w10:wrap type="topAndBottom"/>
              </v:rect>
            </w:pict>
          </mc:Fallback>
        </mc:AlternateContent>
      </w:r>
      <w:r>
        <w:rPr>
          <w:rFonts w:ascii="Arial"/>
          <w:b/>
          <w:color w:val="585858"/>
          <w:sz w:val="18"/>
        </w:rPr>
        <w:t>LES</w:t>
      </w:r>
      <w:r>
        <w:rPr>
          <w:rFonts w:ascii="Arial"/>
          <w:b/>
          <w:color w:val="585858"/>
          <w:spacing w:val="-5"/>
          <w:sz w:val="18"/>
        </w:rPr>
        <w:t> </w:t>
      </w:r>
      <w:r>
        <w:rPr>
          <w:rFonts w:ascii="Arial"/>
          <w:b/>
          <w:color w:val="585858"/>
          <w:sz w:val="18"/>
        </w:rPr>
        <w:t>CHAMBRES</w:t>
      </w:r>
      <w:r>
        <w:rPr>
          <w:rFonts w:ascii="Arial"/>
          <w:b/>
          <w:color w:val="585858"/>
          <w:spacing w:val="-5"/>
          <w:sz w:val="18"/>
        </w:rPr>
        <w:t> </w:t>
      </w:r>
      <w:r>
        <w:rPr>
          <w:rFonts w:ascii="Arial"/>
          <w:b/>
          <w:color w:val="585858"/>
          <w:sz w:val="18"/>
        </w:rPr>
        <w:t>DE</w:t>
      </w:r>
      <w:r>
        <w:rPr>
          <w:rFonts w:ascii="Arial"/>
          <w:b/>
          <w:color w:val="585858"/>
          <w:spacing w:val="-5"/>
          <w:sz w:val="18"/>
        </w:rPr>
        <w:t> </w:t>
      </w:r>
      <w:r>
        <w:rPr>
          <w:rFonts w:ascii="Arial"/>
          <w:b/>
          <w:color w:val="585858"/>
          <w:spacing w:val="-2"/>
          <w:sz w:val="18"/>
        </w:rPr>
        <w:t>RECOURS</w:t>
      </w:r>
    </w:p>
    <w:p>
      <w:pPr>
        <w:pStyle w:val="BodyText"/>
        <w:rPr>
          <w:rFonts w:ascii="Arial"/>
          <w:b/>
        </w:rPr>
      </w:pPr>
    </w:p>
    <w:p>
      <w:pPr>
        <w:pStyle w:val="BodyText"/>
        <w:spacing w:before="85"/>
        <w:rPr>
          <w:rFonts w:ascii="Arial"/>
          <w:b/>
        </w:rPr>
      </w:pPr>
    </w:p>
    <w:p>
      <w:pPr>
        <w:spacing w:before="0"/>
        <w:ind w:left="2777" w:right="2776" w:firstLine="0"/>
        <w:jc w:val="center"/>
        <w:rPr>
          <w:b/>
          <w:sz w:val="24"/>
        </w:rPr>
      </w:pPr>
      <w:r>
        <w:rPr>
          <w:b/>
          <w:spacing w:val="-2"/>
          <w:sz w:val="24"/>
        </w:rPr>
        <w:t>DÉCISION</w:t>
      </w:r>
    </w:p>
    <w:p>
      <w:pPr>
        <w:spacing w:before="0"/>
        <w:ind w:left="2775" w:right="2776" w:firstLine="0"/>
        <w:jc w:val="center"/>
        <w:rPr>
          <w:b/>
          <w:sz w:val="24"/>
        </w:rPr>
      </w:pPr>
      <w:r>
        <w:rPr>
          <w:b/>
          <w:sz w:val="24"/>
        </w:rPr>
        <w:t>de</w:t>
      </w:r>
      <w:r>
        <w:rPr>
          <w:b/>
          <w:spacing w:val="-8"/>
          <w:sz w:val="24"/>
        </w:rPr>
        <w:t> </w:t>
      </w:r>
      <w:r>
        <w:rPr>
          <w:b/>
          <w:sz w:val="24"/>
        </w:rPr>
        <w:t>la</w:t>
      </w:r>
      <w:r>
        <w:rPr>
          <w:b/>
          <w:spacing w:val="-7"/>
          <w:sz w:val="24"/>
        </w:rPr>
        <w:t> </w:t>
      </w:r>
      <w:r>
        <w:rPr>
          <w:b/>
          <w:sz w:val="24"/>
        </w:rPr>
        <w:t>deuxième</w:t>
      </w:r>
      <w:r>
        <w:rPr>
          <w:b/>
          <w:spacing w:val="-7"/>
          <w:sz w:val="24"/>
        </w:rPr>
        <w:t> </w:t>
      </w:r>
      <w:r>
        <w:rPr>
          <w:b/>
          <w:sz w:val="24"/>
        </w:rPr>
        <w:t>chambre</w:t>
      </w:r>
      <w:r>
        <w:rPr>
          <w:b/>
          <w:spacing w:val="-8"/>
          <w:sz w:val="24"/>
        </w:rPr>
        <w:t> </w:t>
      </w:r>
      <w:r>
        <w:rPr>
          <w:b/>
          <w:sz w:val="24"/>
        </w:rPr>
        <w:t>de</w:t>
      </w:r>
      <w:r>
        <w:rPr>
          <w:b/>
          <w:spacing w:val="-8"/>
          <w:sz w:val="24"/>
        </w:rPr>
        <w:t> </w:t>
      </w:r>
      <w:r>
        <w:rPr>
          <w:b/>
          <w:sz w:val="24"/>
        </w:rPr>
        <w:t>recours du 22 avril 2025</w:t>
      </w:r>
    </w:p>
    <w:p>
      <w:pPr>
        <w:pStyle w:val="BodyText"/>
        <w:spacing w:before="84"/>
        <w:rPr>
          <w:b/>
        </w:rPr>
      </w:pPr>
    </w:p>
    <w:p>
      <w:pPr>
        <w:pStyle w:val="BodyText"/>
        <w:ind w:left="165"/>
      </w:pPr>
      <w:r>
        <w:rPr/>
        <w:t>Dans</w:t>
      </w:r>
      <w:r>
        <w:rPr>
          <w:spacing w:val="-3"/>
        </w:rPr>
        <w:t> </w:t>
      </w:r>
      <w:r>
        <w:rPr/>
        <w:t>l’affaire</w:t>
      </w:r>
      <w:r>
        <w:rPr>
          <w:spacing w:val="-3"/>
        </w:rPr>
        <w:t> </w:t>
      </w:r>
      <w:r>
        <w:rPr/>
        <w:t>R</w:t>
      </w:r>
      <w:r>
        <w:rPr>
          <w:spacing w:val="-1"/>
        </w:rPr>
        <w:t> </w:t>
      </w:r>
      <w:r>
        <w:rPr/>
        <w:t>1740/2024-</w:t>
      </w:r>
      <w:r>
        <w:rPr>
          <w:spacing w:val="-10"/>
        </w:rPr>
        <w:t>2</w:t>
      </w:r>
    </w:p>
    <w:p>
      <w:pPr>
        <w:pStyle w:val="BodyText"/>
        <w:spacing w:before="155"/>
        <w:rPr>
          <w:sz w:val="20"/>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3"/>
        <w:gridCol w:w="5236"/>
      </w:tblGrid>
      <w:tr>
        <w:trPr>
          <w:trHeight w:val="285" w:hRule="atLeast"/>
        </w:trPr>
        <w:tc>
          <w:tcPr>
            <w:tcW w:w="3823" w:type="dxa"/>
          </w:tcPr>
          <w:p>
            <w:pPr>
              <w:pStyle w:val="TableParagraph"/>
              <w:spacing w:line="265" w:lineRule="exact"/>
              <w:ind w:left="50"/>
              <w:rPr>
                <w:b/>
                <w:sz w:val="24"/>
              </w:rPr>
            </w:pPr>
            <w:r>
              <w:rPr>
                <w:b/>
                <w:sz w:val="24"/>
              </w:rPr>
              <w:t>Copenhagen</w:t>
            </w:r>
            <w:r>
              <w:rPr>
                <w:b/>
                <w:spacing w:val="-1"/>
                <w:sz w:val="24"/>
              </w:rPr>
              <w:t> </w:t>
            </w:r>
            <w:r>
              <w:rPr>
                <w:b/>
                <w:sz w:val="24"/>
              </w:rPr>
              <w:t>STUDIOS</w:t>
            </w:r>
            <w:r>
              <w:rPr>
                <w:b/>
                <w:spacing w:val="-1"/>
                <w:sz w:val="24"/>
              </w:rPr>
              <w:t> </w:t>
            </w:r>
            <w:r>
              <w:rPr>
                <w:b/>
                <w:spacing w:val="-4"/>
                <w:sz w:val="24"/>
              </w:rPr>
              <w:t>GmbH</w:t>
            </w:r>
          </w:p>
        </w:tc>
        <w:tc>
          <w:tcPr>
            <w:tcW w:w="5236" w:type="dxa"/>
          </w:tcPr>
          <w:p>
            <w:pPr>
              <w:pStyle w:val="TableParagraph"/>
              <w:rPr>
                <w:sz w:val="20"/>
              </w:rPr>
            </w:pPr>
          </w:p>
        </w:tc>
      </w:tr>
      <w:tr>
        <w:trPr>
          <w:trHeight w:val="837" w:hRule="atLeast"/>
        </w:trPr>
        <w:tc>
          <w:tcPr>
            <w:tcW w:w="3823" w:type="dxa"/>
          </w:tcPr>
          <w:p>
            <w:pPr>
              <w:pStyle w:val="TableParagraph"/>
              <w:spacing w:before="9"/>
              <w:ind w:left="50"/>
              <w:rPr>
                <w:sz w:val="24"/>
              </w:rPr>
            </w:pPr>
            <w:r>
              <w:rPr>
                <w:sz w:val="24"/>
              </w:rPr>
              <w:t>Hafenweg</w:t>
            </w:r>
            <w:r>
              <w:rPr>
                <w:spacing w:val="-6"/>
                <w:sz w:val="24"/>
              </w:rPr>
              <w:t> </w:t>
            </w:r>
            <w:r>
              <w:rPr>
                <w:sz w:val="24"/>
              </w:rPr>
              <w:t>46-</w:t>
            </w:r>
            <w:r>
              <w:rPr>
                <w:spacing w:val="-5"/>
                <w:sz w:val="24"/>
              </w:rPr>
              <w:t>48</w:t>
            </w:r>
          </w:p>
          <w:p>
            <w:pPr>
              <w:pStyle w:val="TableParagraph"/>
              <w:spacing w:line="270" w:lineRule="atLeast"/>
              <w:ind w:left="50" w:right="2308"/>
              <w:rPr>
                <w:sz w:val="24"/>
              </w:rPr>
            </w:pPr>
            <w:r>
              <w:rPr>
                <w:sz w:val="24"/>
              </w:rPr>
              <w:t>48155</w:t>
            </w:r>
            <w:r>
              <w:rPr>
                <w:spacing w:val="-15"/>
                <w:sz w:val="24"/>
              </w:rPr>
              <w:t> </w:t>
            </w:r>
            <w:r>
              <w:rPr>
                <w:sz w:val="24"/>
              </w:rPr>
              <w:t>Münster </w:t>
            </w:r>
            <w:r>
              <w:rPr>
                <w:spacing w:val="-2"/>
                <w:sz w:val="24"/>
              </w:rPr>
              <w:t>Allemagne</w:t>
            </w:r>
          </w:p>
        </w:tc>
        <w:tc>
          <w:tcPr>
            <w:tcW w:w="5236" w:type="dxa"/>
          </w:tcPr>
          <w:p>
            <w:pPr>
              <w:pStyle w:val="TableParagraph"/>
              <w:rPr>
                <w:sz w:val="24"/>
              </w:rPr>
            </w:pPr>
          </w:p>
          <w:p>
            <w:pPr>
              <w:pStyle w:val="TableParagraph"/>
              <w:spacing w:before="9"/>
              <w:rPr>
                <w:sz w:val="24"/>
              </w:rPr>
            </w:pPr>
          </w:p>
          <w:p>
            <w:pPr>
              <w:pStyle w:val="TableParagraph"/>
              <w:spacing w:line="256" w:lineRule="exact" w:before="1"/>
              <w:ind w:left="2170"/>
              <w:rPr>
                <w:sz w:val="24"/>
              </w:rPr>
            </w:pPr>
            <w:r>
              <w:rPr>
                <w:sz w:val="24"/>
              </w:rPr>
              <w:t>Titulaire</w:t>
            </w:r>
            <w:r>
              <w:rPr>
                <w:spacing w:val="-3"/>
                <w:sz w:val="24"/>
              </w:rPr>
              <w:t> </w:t>
            </w:r>
            <w:r>
              <w:rPr>
                <w:sz w:val="24"/>
              </w:rPr>
              <w:t>de</w:t>
            </w:r>
            <w:r>
              <w:rPr>
                <w:spacing w:val="-1"/>
                <w:sz w:val="24"/>
              </w:rPr>
              <w:t> </w:t>
            </w:r>
            <w:r>
              <w:rPr>
                <w:sz w:val="24"/>
              </w:rPr>
              <w:t>la </w:t>
            </w:r>
            <w:r>
              <w:rPr>
                <w:spacing w:val="-2"/>
                <w:sz w:val="24"/>
              </w:rPr>
              <w:t>MUE/requérante</w:t>
            </w:r>
          </w:p>
        </w:tc>
      </w:tr>
    </w:tbl>
    <w:p>
      <w:pPr>
        <w:pStyle w:val="BodyText"/>
        <w:spacing w:before="135"/>
        <w:ind w:left="165"/>
      </w:pPr>
      <w:r>
        <w:rPr/>
        <w:t>représentée</w:t>
      </w:r>
      <w:r>
        <w:rPr>
          <w:spacing w:val="-6"/>
        </w:rPr>
        <w:t> </w:t>
      </w:r>
      <w:r>
        <w:rPr/>
        <w:t>par</w:t>
      </w:r>
      <w:r>
        <w:rPr>
          <w:spacing w:val="-1"/>
        </w:rPr>
        <w:t> </w:t>
      </w:r>
      <w:r>
        <w:rPr/>
        <w:t>Hinrich</w:t>
      </w:r>
      <w:r>
        <w:rPr>
          <w:spacing w:val="1"/>
        </w:rPr>
        <w:t> </w:t>
      </w:r>
      <w:r>
        <w:rPr/>
        <w:t>Clasck,</w:t>
      </w:r>
      <w:r>
        <w:rPr>
          <w:spacing w:val="-1"/>
        </w:rPr>
        <w:t> </w:t>
      </w:r>
      <w:r>
        <w:rPr/>
        <w:t>Zum</w:t>
      </w:r>
      <w:r>
        <w:rPr>
          <w:spacing w:val="-1"/>
        </w:rPr>
        <w:t> </w:t>
      </w:r>
      <w:r>
        <w:rPr/>
        <w:t>Gutspark</w:t>
      </w:r>
      <w:r>
        <w:rPr>
          <w:spacing w:val="-1"/>
        </w:rPr>
        <w:t> </w:t>
      </w:r>
      <w:r>
        <w:rPr/>
        <w:t>2, 22159</w:t>
      </w:r>
      <w:r>
        <w:rPr>
          <w:spacing w:val="-1"/>
        </w:rPr>
        <w:t> </w:t>
      </w:r>
      <w:r>
        <w:rPr/>
        <w:t>Hambourg</w:t>
      </w:r>
      <w:r>
        <w:rPr>
          <w:spacing w:val="-4"/>
        </w:rPr>
        <w:t> </w:t>
      </w:r>
      <w:r>
        <w:rPr>
          <w:spacing w:val="-2"/>
        </w:rPr>
        <w:t>(Allemagne)</w:t>
      </w:r>
    </w:p>
    <w:p>
      <w:pPr>
        <w:pStyle w:val="BodyText"/>
        <w:spacing w:before="204"/>
      </w:pPr>
    </w:p>
    <w:p>
      <w:pPr>
        <w:pStyle w:val="BodyText"/>
        <w:ind w:left="2775" w:right="2776"/>
        <w:jc w:val="center"/>
      </w:pPr>
      <w:r>
        <w:rPr>
          <w:spacing w:val="-2"/>
        </w:rPr>
        <w:t>contre</w:t>
      </w:r>
    </w:p>
    <w:p>
      <w:pPr>
        <w:pStyle w:val="BodyText"/>
        <w:spacing w:before="152" w:after="1"/>
        <w:rPr>
          <w:sz w:val="20"/>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4"/>
        <w:gridCol w:w="3080"/>
      </w:tblGrid>
      <w:tr>
        <w:trPr>
          <w:trHeight w:val="1093" w:hRule="atLeast"/>
        </w:trPr>
        <w:tc>
          <w:tcPr>
            <w:tcW w:w="4244" w:type="dxa"/>
          </w:tcPr>
          <w:p>
            <w:pPr>
              <w:pStyle w:val="TableParagraph"/>
              <w:spacing w:line="266" w:lineRule="exact"/>
              <w:ind w:left="50"/>
              <w:rPr>
                <w:b/>
                <w:sz w:val="24"/>
              </w:rPr>
            </w:pPr>
            <w:r>
              <w:rPr>
                <w:b/>
                <w:sz w:val="24"/>
              </w:rPr>
              <w:t>HOBOKEN</w:t>
            </w:r>
            <w:r>
              <w:rPr>
                <w:b/>
                <w:spacing w:val="-2"/>
                <w:sz w:val="24"/>
              </w:rPr>
              <w:t> </w:t>
            </w:r>
            <w:r>
              <w:rPr>
                <w:b/>
                <w:sz w:val="24"/>
              </w:rPr>
              <w:t>INVERSIONES,</w:t>
            </w:r>
            <w:r>
              <w:rPr>
                <w:b/>
                <w:spacing w:val="-1"/>
                <w:sz w:val="24"/>
              </w:rPr>
              <w:t> </w:t>
            </w:r>
            <w:r>
              <w:rPr>
                <w:b/>
                <w:spacing w:val="-4"/>
                <w:sz w:val="24"/>
              </w:rPr>
              <w:t>S.L.</w:t>
            </w:r>
          </w:p>
          <w:p>
            <w:pPr>
              <w:pStyle w:val="TableParagraph"/>
              <w:ind w:left="50" w:right="89"/>
              <w:rPr>
                <w:sz w:val="24"/>
              </w:rPr>
            </w:pPr>
            <w:r>
              <w:rPr>
                <w:sz w:val="24"/>
              </w:rPr>
              <w:t>Calle</w:t>
            </w:r>
            <w:r>
              <w:rPr>
                <w:spacing w:val="-8"/>
                <w:sz w:val="24"/>
              </w:rPr>
              <w:t> </w:t>
            </w:r>
            <w:r>
              <w:rPr>
                <w:sz w:val="24"/>
              </w:rPr>
              <w:t>Santiago</w:t>
            </w:r>
            <w:r>
              <w:rPr>
                <w:spacing w:val="-7"/>
                <w:sz w:val="24"/>
              </w:rPr>
              <w:t> </w:t>
            </w:r>
            <w:r>
              <w:rPr>
                <w:sz w:val="24"/>
              </w:rPr>
              <w:t>Ramón</w:t>
            </w:r>
            <w:r>
              <w:rPr>
                <w:spacing w:val="-3"/>
                <w:sz w:val="24"/>
              </w:rPr>
              <w:t> </w:t>
            </w:r>
            <w:r>
              <w:rPr>
                <w:sz w:val="24"/>
              </w:rPr>
              <w:t>y</w:t>
            </w:r>
            <w:r>
              <w:rPr>
                <w:spacing w:val="-10"/>
                <w:sz w:val="24"/>
              </w:rPr>
              <w:t> </w:t>
            </w:r>
            <w:r>
              <w:rPr>
                <w:sz w:val="24"/>
              </w:rPr>
              <w:t>Cajal,</w:t>
            </w:r>
            <w:r>
              <w:rPr>
                <w:spacing w:val="-7"/>
                <w:sz w:val="24"/>
              </w:rPr>
              <w:t> </w:t>
            </w:r>
            <w:r>
              <w:rPr>
                <w:sz w:val="24"/>
              </w:rPr>
              <w:t>no</w:t>
            </w:r>
            <w:r>
              <w:rPr>
                <w:spacing w:val="-7"/>
                <w:sz w:val="24"/>
              </w:rPr>
              <w:t> </w:t>
            </w:r>
            <w:r>
              <w:rPr>
                <w:sz w:val="24"/>
              </w:rPr>
              <w:t>17 03203 Elche</w:t>
            </w:r>
          </w:p>
          <w:p>
            <w:pPr>
              <w:pStyle w:val="TableParagraph"/>
              <w:spacing w:line="256" w:lineRule="exact"/>
              <w:ind w:left="50"/>
              <w:rPr>
                <w:sz w:val="24"/>
              </w:rPr>
            </w:pPr>
            <w:r>
              <w:rPr>
                <w:spacing w:val="-2"/>
                <w:sz w:val="24"/>
              </w:rPr>
              <w:t>Espagne</w:t>
            </w:r>
          </w:p>
        </w:tc>
        <w:tc>
          <w:tcPr>
            <w:tcW w:w="3080" w:type="dxa"/>
          </w:tcPr>
          <w:p>
            <w:pPr>
              <w:pStyle w:val="TableParagraph"/>
              <w:spacing w:before="245"/>
              <w:rPr>
                <w:sz w:val="24"/>
              </w:rPr>
            </w:pPr>
          </w:p>
          <w:p>
            <w:pPr>
              <w:pStyle w:val="TableParagraph"/>
              <w:spacing w:line="270" w:lineRule="atLeast" w:before="1"/>
              <w:ind w:left="630" w:right="47" w:firstLine="717"/>
              <w:rPr>
                <w:sz w:val="24"/>
              </w:rPr>
            </w:pPr>
            <w:r>
              <w:rPr>
                <w:sz w:val="24"/>
              </w:rPr>
              <w:t>Demanderesse</w:t>
            </w:r>
            <w:r>
              <w:rPr>
                <w:spacing w:val="-15"/>
                <w:sz w:val="24"/>
              </w:rPr>
              <w:t> </w:t>
            </w:r>
            <w:r>
              <w:rPr>
                <w:sz w:val="24"/>
              </w:rPr>
              <w:t>en </w:t>
            </w:r>
            <w:r>
              <w:rPr>
                <w:spacing w:val="-2"/>
                <w:sz w:val="24"/>
              </w:rPr>
              <w:t>nullité/défenderesse</w:t>
            </w:r>
          </w:p>
        </w:tc>
      </w:tr>
    </w:tbl>
    <w:p>
      <w:pPr>
        <w:pStyle w:val="BodyText"/>
        <w:spacing w:before="162"/>
      </w:pPr>
    </w:p>
    <w:p>
      <w:pPr>
        <w:pStyle w:val="BodyText"/>
        <w:ind w:left="165"/>
      </w:pPr>
      <w:r>
        <w:rPr/>
        <w:t>représentée</w:t>
      </w:r>
      <w:r>
        <w:rPr>
          <w:spacing w:val="-5"/>
        </w:rPr>
        <w:t> </w:t>
      </w:r>
      <w:r>
        <w:rPr/>
        <w:t>par</w:t>
      </w:r>
      <w:r>
        <w:rPr>
          <w:spacing w:val="-1"/>
        </w:rPr>
        <w:t> </w:t>
      </w:r>
      <w:r>
        <w:rPr/>
        <w:t>PADIMA,</w:t>
      </w:r>
      <w:r>
        <w:rPr>
          <w:spacing w:val="-1"/>
        </w:rPr>
        <w:t> </w:t>
      </w:r>
      <w:r>
        <w:rPr/>
        <w:t>Explanada</w:t>
      </w:r>
      <w:r>
        <w:rPr>
          <w:spacing w:val="-2"/>
        </w:rPr>
        <w:t> </w:t>
      </w:r>
      <w:r>
        <w:rPr/>
        <w:t>de</w:t>
      </w:r>
      <w:r>
        <w:rPr>
          <w:spacing w:val="-2"/>
        </w:rPr>
        <w:t> </w:t>
      </w:r>
      <w:r>
        <w:rPr/>
        <w:t>España,</w:t>
      </w:r>
      <w:r>
        <w:rPr>
          <w:spacing w:val="1"/>
        </w:rPr>
        <w:t> </w:t>
      </w:r>
      <w:r>
        <w:rPr/>
        <w:t>no</w:t>
      </w:r>
      <w:r>
        <w:rPr>
          <w:spacing w:val="-1"/>
        </w:rPr>
        <w:t> </w:t>
      </w:r>
      <w:r>
        <w:rPr/>
        <w:t>11,</w:t>
      </w:r>
      <w:r>
        <w:rPr>
          <w:spacing w:val="-1"/>
        </w:rPr>
        <w:t> </w:t>
      </w:r>
      <w:r>
        <w:rPr/>
        <w:t>Piso</w:t>
      </w:r>
      <w:r>
        <w:rPr>
          <w:spacing w:val="-1"/>
        </w:rPr>
        <w:t> </w:t>
      </w:r>
      <w:r>
        <w:rPr/>
        <w:t>1º,</w:t>
      </w:r>
      <w:r>
        <w:rPr>
          <w:spacing w:val="-1"/>
        </w:rPr>
        <w:t> </w:t>
      </w:r>
      <w:r>
        <w:rPr/>
        <w:t>03002</w:t>
      </w:r>
      <w:r>
        <w:rPr>
          <w:spacing w:val="-1"/>
        </w:rPr>
        <w:t> </w:t>
      </w:r>
      <w:r>
        <w:rPr/>
        <w:t>Alicante </w:t>
      </w:r>
      <w:r>
        <w:rPr>
          <w:spacing w:val="-2"/>
        </w:rPr>
        <w:t>(Espagne)</w:t>
      </w:r>
    </w:p>
    <w:p>
      <w:pPr>
        <w:pStyle w:val="BodyText"/>
        <w:spacing w:before="240"/>
        <w:ind w:left="165"/>
      </w:pPr>
      <w:r>
        <w:rPr/>
        <w:t>Recours concernant la procédure d’annulation no 59 088 C (enregistrement de la marque de l’Union européenne no 13 620 752)</w:t>
      </w:r>
    </w:p>
    <w:p>
      <w:pPr>
        <w:pStyle w:val="BodyText"/>
        <w:spacing w:before="204"/>
      </w:pPr>
    </w:p>
    <w:p>
      <w:pPr>
        <w:pStyle w:val="BodyText"/>
        <w:ind w:left="566" w:right="566"/>
        <w:jc w:val="center"/>
      </w:pPr>
      <w:r>
        <w:rPr/>
        <w:t>LA</w:t>
      </w:r>
      <w:r>
        <w:rPr>
          <w:spacing w:val="-1"/>
        </w:rPr>
        <w:t> </w:t>
      </w:r>
      <w:r>
        <w:rPr/>
        <w:t>DEUXIÈME</w:t>
      </w:r>
      <w:r>
        <w:rPr>
          <w:spacing w:val="-2"/>
        </w:rPr>
        <w:t> </w:t>
      </w:r>
      <w:r>
        <w:rPr/>
        <w:t>CHAMBRE</w:t>
      </w:r>
      <w:r>
        <w:rPr>
          <w:spacing w:val="-2"/>
        </w:rPr>
        <w:t> </w:t>
      </w:r>
      <w:r>
        <w:rPr/>
        <w:t>DE</w:t>
      </w:r>
      <w:r>
        <w:rPr>
          <w:spacing w:val="-1"/>
        </w:rPr>
        <w:t> </w:t>
      </w:r>
      <w:r>
        <w:rPr>
          <w:spacing w:val="-2"/>
        </w:rPr>
        <w:t>RECOURS</w:t>
      </w:r>
    </w:p>
    <w:p>
      <w:pPr>
        <w:pStyle w:val="BodyText"/>
        <w:spacing w:before="204"/>
      </w:pPr>
    </w:p>
    <w:p>
      <w:pPr>
        <w:pStyle w:val="BodyText"/>
        <w:ind w:left="165"/>
      </w:pPr>
      <w:r>
        <w:rPr/>
        <w:t>composée</w:t>
      </w:r>
      <w:r>
        <w:rPr>
          <w:spacing w:val="25"/>
        </w:rPr>
        <w:t> </w:t>
      </w:r>
      <w:r>
        <w:rPr/>
        <w:t>de</w:t>
      </w:r>
      <w:r>
        <w:rPr>
          <w:spacing w:val="25"/>
        </w:rPr>
        <w:t> </w:t>
      </w:r>
      <w:r>
        <w:rPr/>
        <w:t>H.</w:t>
      </w:r>
      <w:r>
        <w:rPr>
          <w:spacing w:val="26"/>
        </w:rPr>
        <w:t> </w:t>
      </w:r>
      <w:r>
        <w:rPr/>
        <w:t>Salmi</w:t>
      </w:r>
      <w:r>
        <w:rPr>
          <w:spacing w:val="27"/>
        </w:rPr>
        <w:t> </w:t>
      </w:r>
      <w:r>
        <w:rPr/>
        <w:t>(président</w:t>
      </w:r>
      <w:r>
        <w:rPr>
          <w:spacing w:val="26"/>
        </w:rPr>
        <w:t> </w:t>
      </w:r>
      <w:r>
        <w:rPr/>
        <w:t>faisant</w:t>
      </w:r>
      <w:r>
        <w:rPr>
          <w:spacing w:val="26"/>
        </w:rPr>
        <w:t> </w:t>
      </w:r>
      <w:r>
        <w:rPr/>
        <w:t>fonction</w:t>
      </w:r>
      <w:r>
        <w:rPr>
          <w:spacing w:val="26"/>
        </w:rPr>
        <w:t> </w:t>
      </w:r>
      <w:r>
        <w:rPr/>
        <w:t>et</w:t>
      </w:r>
      <w:r>
        <w:rPr>
          <w:spacing w:val="27"/>
        </w:rPr>
        <w:t> </w:t>
      </w:r>
      <w:r>
        <w:rPr/>
        <w:t>rapporteur),</w:t>
      </w:r>
      <w:r>
        <w:rPr>
          <w:spacing w:val="25"/>
        </w:rPr>
        <w:t> </w:t>
      </w:r>
      <w:r>
        <w:rPr/>
        <w:t>C.</w:t>
      </w:r>
      <w:r>
        <w:rPr>
          <w:spacing w:val="26"/>
        </w:rPr>
        <w:t> </w:t>
      </w:r>
      <w:r>
        <w:rPr/>
        <w:t>Negro</w:t>
      </w:r>
      <w:r>
        <w:rPr>
          <w:spacing w:val="25"/>
        </w:rPr>
        <w:t> </w:t>
      </w:r>
      <w:r>
        <w:rPr/>
        <w:t>(membre)</w:t>
      </w:r>
      <w:r>
        <w:rPr>
          <w:spacing w:val="28"/>
        </w:rPr>
        <w:t> </w:t>
      </w:r>
      <w:r>
        <w:rPr/>
        <w:t>et</w:t>
      </w:r>
      <w:r>
        <w:rPr>
          <w:spacing w:val="27"/>
        </w:rPr>
        <w:t> </w:t>
      </w:r>
      <w:r>
        <w:rPr/>
        <w:t>K. Guzdek (membre)</w:t>
      </w:r>
    </w:p>
    <w:p>
      <w:pPr>
        <w:pStyle w:val="BodyText"/>
        <w:spacing w:before="204"/>
      </w:pPr>
    </w:p>
    <w:p>
      <w:pPr>
        <w:pStyle w:val="BodyText"/>
        <w:spacing w:line="657" w:lineRule="auto"/>
        <w:ind w:left="165" w:right="6799"/>
      </w:pPr>
      <w:r>
        <w:rPr/>
        <w:t>Greffier:</w:t>
      </w:r>
      <w:r>
        <w:rPr>
          <w:spacing w:val="-15"/>
        </w:rPr>
        <w:t> </w:t>
      </w:r>
      <w:r>
        <w:rPr/>
        <w:t>H.</w:t>
      </w:r>
      <w:r>
        <w:rPr>
          <w:spacing w:val="-15"/>
        </w:rPr>
        <w:t> </w:t>
      </w:r>
      <w:r>
        <w:rPr/>
        <w:t>Dijkema rend le présent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7"/>
        <w:rPr>
          <w:sz w:val="20"/>
        </w:rPr>
      </w:pPr>
      <w:r>
        <w:rPr>
          <w:sz w:val="20"/>
        </w:rPr>
        <mc:AlternateContent>
          <mc:Choice Requires="wps">
            <w:drawing>
              <wp:anchor distT="0" distB="0" distL="0" distR="0" allowOverlap="1" layoutInCell="1" locked="0" behindDoc="1" simplePos="0" relativeHeight="487588352">
                <wp:simplePos x="0" y="0"/>
                <wp:positionH relativeFrom="page">
                  <wp:posOffset>896416</wp:posOffset>
                </wp:positionH>
                <wp:positionV relativeFrom="paragraph">
                  <wp:posOffset>185285</wp:posOffset>
                </wp:positionV>
                <wp:extent cx="576961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69610" cy="9525"/>
                        </a:xfrm>
                        <a:custGeom>
                          <a:avLst/>
                          <a:gdLst/>
                          <a:ahLst/>
                          <a:cxnLst/>
                          <a:rect l="l" t="t" r="r" b="b"/>
                          <a:pathLst>
                            <a:path w="5769610" h="9525">
                              <a:moveTo>
                                <a:pt x="5769229" y="0"/>
                              </a:moveTo>
                              <a:lnTo>
                                <a:pt x="0" y="0"/>
                              </a:lnTo>
                              <a:lnTo>
                                <a:pt x="0" y="9143"/>
                              </a:lnTo>
                              <a:lnTo>
                                <a:pt x="5769229" y="9143"/>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0.584pt;margin-top:14.58939pt;width:454.27pt;height:.71997pt;mso-position-horizontal-relative:page;mso-position-vertical-relative:paragraph;z-index:-15728128;mso-wrap-distance-left:0;mso-wrap-distance-right:0" id="docshape3" filled="true" fillcolor="#585858" stroked="false">
                <v:fill type="solid"/>
                <w10:wrap type="topAndBottom"/>
              </v:rect>
            </w:pict>
          </mc:Fallback>
        </mc:AlternateContent>
      </w:r>
    </w:p>
    <w:p>
      <w:pPr>
        <w:spacing w:before="122"/>
        <w:ind w:left="165" w:right="0" w:firstLine="0"/>
        <w:jc w:val="left"/>
        <w:rPr>
          <w:sz w:val="18"/>
        </w:rPr>
      </w:pPr>
      <w:r>
        <w:rPr>
          <w:sz w:val="18"/>
        </w:rPr>
        <w:t>Langue</w:t>
      </w:r>
      <w:r>
        <w:rPr>
          <w:spacing w:val="-2"/>
          <w:sz w:val="18"/>
        </w:rPr>
        <w:t> </w:t>
      </w:r>
      <w:r>
        <w:rPr>
          <w:sz w:val="18"/>
        </w:rPr>
        <w:t>de</w:t>
      </w:r>
      <w:r>
        <w:rPr>
          <w:spacing w:val="-1"/>
          <w:sz w:val="18"/>
        </w:rPr>
        <w:t> </w:t>
      </w:r>
      <w:r>
        <w:rPr>
          <w:sz w:val="18"/>
        </w:rPr>
        <w:t>procédure: </w:t>
      </w:r>
      <w:r>
        <w:rPr>
          <w:spacing w:val="-2"/>
          <w:sz w:val="18"/>
        </w:rPr>
        <w:t>Anglais</w:t>
      </w:r>
    </w:p>
    <w:p>
      <w:pPr>
        <w:pStyle w:val="BodyText"/>
        <w:spacing w:before="33"/>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type w:val="continuous"/>
          <w:pgSz w:w="11910" w:h="16840"/>
          <w:pgMar w:top="820" w:bottom="280" w:left="1275" w:right="1275"/>
        </w:sectPr>
      </w:pPr>
    </w:p>
    <w:p>
      <w:pPr>
        <w:spacing w:before="204"/>
        <w:ind w:left="2776" w:right="2776" w:firstLine="0"/>
        <w:jc w:val="center"/>
        <w:rPr>
          <w:b/>
          <w:sz w:val="24"/>
        </w:rPr>
      </w:pPr>
      <w:r>
        <w:rPr>
          <w:b/>
          <w:sz w:val="24"/>
        </w:rPr>
        <mc:AlternateContent>
          <mc:Choice Requires="wps">
            <w:drawing>
              <wp:anchor distT="0" distB="0" distL="0" distR="0" allowOverlap="1" layoutInCell="1" locked="0" behindDoc="0" simplePos="0" relativeHeight="15730176">
                <wp:simplePos x="0" y="0"/>
                <wp:positionH relativeFrom="page">
                  <wp:posOffset>270575</wp:posOffset>
                </wp:positionH>
                <wp:positionV relativeFrom="page">
                  <wp:posOffset>1114363</wp:posOffset>
                </wp:positionV>
                <wp:extent cx="146050" cy="92100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0176" type="#_x0000_t202" id="docshape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b/>
          <w:spacing w:val="-2"/>
          <w:sz w:val="24"/>
        </w:rPr>
        <w:t>Décision</w:t>
      </w:r>
    </w:p>
    <w:p>
      <w:pPr>
        <w:pStyle w:val="BodyText"/>
        <w:rPr>
          <w:b/>
        </w:rPr>
      </w:pPr>
    </w:p>
    <w:p>
      <w:pPr>
        <w:pStyle w:val="BodyText"/>
        <w:spacing w:before="103"/>
        <w:rPr>
          <w:b/>
        </w:rPr>
      </w:pPr>
    </w:p>
    <w:p>
      <w:pPr>
        <w:spacing w:before="0"/>
        <w:ind w:left="731" w:right="0" w:firstLine="0"/>
        <w:jc w:val="both"/>
        <w:rPr>
          <w:b/>
          <w:sz w:val="24"/>
        </w:rPr>
      </w:pPr>
      <w:r>
        <w:rPr>
          <w:b/>
          <w:sz w:val="24"/>
        </w:rPr>
        <w:t>Résumé</w:t>
      </w:r>
      <w:r>
        <w:rPr>
          <w:b/>
          <w:spacing w:val="-3"/>
          <w:sz w:val="24"/>
        </w:rPr>
        <w:t> </w:t>
      </w:r>
      <w:r>
        <w:rPr>
          <w:b/>
          <w:sz w:val="24"/>
        </w:rPr>
        <w:t>des</w:t>
      </w:r>
      <w:r>
        <w:rPr>
          <w:b/>
          <w:spacing w:val="-2"/>
          <w:sz w:val="24"/>
        </w:rPr>
        <w:t> faits</w:t>
      </w:r>
    </w:p>
    <w:p>
      <w:pPr>
        <w:pStyle w:val="ListParagraph"/>
        <w:numPr>
          <w:ilvl w:val="0"/>
          <w:numId w:val="1"/>
        </w:numPr>
        <w:tabs>
          <w:tab w:pos="731" w:val="left" w:leader="none"/>
        </w:tabs>
        <w:spacing w:line="240" w:lineRule="auto" w:before="240" w:after="0"/>
        <w:ind w:left="731" w:right="0" w:hanging="566"/>
        <w:jc w:val="left"/>
        <w:rPr>
          <w:sz w:val="24"/>
        </w:rPr>
      </w:pPr>
      <w:r>
        <w:rPr>
          <w:sz w:val="24"/>
        </w:rPr>
        <w:t>Par</w:t>
      </w:r>
      <w:r>
        <w:rPr>
          <w:spacing w:val="2"/>
          <w:sz w:val="24"/>
        </w:rPr>
        <w:t> </w:t>
      </w:r>
      <w:r>
        <w:rPr>
          <w:sz w:val="24"/>
        </w:rPr>
        <w:t>une</w:t>
      </w:r>
      <w:r>
        <w:rPr>
          <w:spacing w:val="3"/>
          <w:sz w:val="24"/>
        </w:rPr>
        <w:t> </w:t>
      </w:r>
      <w:r>
        <w:rPr>
          <w:sz w:val="24"/>
        </w:rPr>
        <w:t>demande</w:t>
      </w:r>
      <w:r>
        <w:rPr>
          <w:spacing w:val="3"/>
          <w:sz w:val="24"/>
        </w:rPr>
        <w:t> </w:t>
      </w:r>
      <w:r>
        <w:rPr>
          <w:sz w:val="24"/>
        </w:rPr>
        <w:t>déposée</w:t>
      </w:r>
      <w:r>
        <w:rPr>
          <w:spacing w:val="3"/>
          <w:sz w:val="24"/>
        </w:rPr>
        <w:t> </w:t>
      </w:r>
      <w:r>
        <w:rPr>
          <w:sz w:val="24"/>
        </w:rPr>
        <w:t>le</w:t>
      </w:r>
      <w:r>
        <w:rPr>
          <w:spacing w:val="4"/>
          <w:sz w:val="24"/>
        </w:rPr>
        <w:t> </w:t>
      </w:r>
      <w:r>
        <w:rPr>
          <w:sz w:val="24"/>
        </w:rPr>
        <w:t>6</w:t>
      </w:r>
      <w:r>
        <w:rPr>
          <w:spacing w:val="4"/>
          <w:sz w:val="24"/>
        </w:rPr>
        <w:t> </w:t>
      </w:r>
      <w:r>
        <w:rPr>
          <w:sz w:val="24"/>
        </w:rPr>
        <w:t>janvier</w:t>
      </w:r>
      <w:r>
        <w:rPr>
          <w:spacing w:val="2"/>
          <w:sz w:val="24"/>
        </w:rPr>
        <w:t> </w:t>
      </w:r>
      <w:r>
        <w:rPr>
          <w:sz w:val="24"/>
        </w:rPr>
        <w:t>2015,</w:t>
      </w:r>
      <w:r>
        <w:rPr>
          <w:spacing w:val="4"/>
          <w:sz w:val="24"/>
        </w:rPr>
        <w:t> </w:t>
      </w:r>
      <w:r>
        <w:rPr>
          <w:sz w:val="24"/>
        </w:rPr>
        <w:t>Copenhagen</w:t>
      </w:r>
      <w:r>
        <w:rPr>
          <w:spacing w:val="4"/>
          <w:sz w:val="24"/>
        </w:rPr>
        <w:t> </w:t>
      </w:r>
      <w:r>
        <w:rPr>
          <w:sz w:val="24"/>
        </w:rPr>
        <w:t>STUDIOS</w:t>
      </w:r>
      <w:r>
        <w:rPr>
          <w:spacing w:val="5"/>
          <w:sz w:val="24"/>
        </w:rPr>
        <w:t> </w:t>
      </w:r>
      <w:r>
        <w:rPr>
          <w:sz w:val="24"/>
        </w:rPr>
        <w:t>GmbH</w:t>
      </w:r>
      <w:r>
        <w:rPr>
          <w:spacing w:val="4"/>
          <w:sz w:val="24"/>
        </w:rPr>
        <w:t> </w:t>
      </w:r>
      <w:r>
        <w:rPr>
          <w:sz w:val="24"/>
        </w:rPr>
        <w:t>(ci-après</w:t>
      </w:r>
      <w:r>
        <w:rPr>
          <w:spacing w:val="4"/>
          <w:sz w:val="24"/>
        </w:rPr>
        <w:t> </w:t>
      </w:r>
      <w:r>
        <w:rPr>
          <w:spacing w:val="-5"/>
          <w:sz w:val="24"/>
        </w:rPr>
        <w:t>la</w:t>
      </w:r>
    </w:p>
    <w:p>
      <w:pPr>
        <w:pStyle w:val="BodyText"/>
        <w:ind w:left="731" w:right="168"/>
        <w:jc w:val="both"/>
      </w:pPr>
      <w:r>
        <w:rPr/>
        <w:t>«titulaire de la marque de l’Union européenne») a sollicité l’enregistrement de la marque verbale</w:t>
      </w:r>
    </w:p>
    <w:p>
      <w:pPr>
        <w:pStyle w:val="BodyText"/>
        <w:spacing w:before="204"/>
      </w:pPr>
    </w:p>
    <w:p>
      <w:pPr>
        <w:spacing w:before="1"/>
        <w:ind w:left="2776" w:right="2776" w:firstLine="0"/>
        <w:jc w:val="center"/>
        <w:rPr>
          <w:b/>
          <w:sz w:val="24"/>
        </w:rPr>
      </w:pPr>
      <w:r>
        <w:rPr>
          <w:b/>
          <w:spacing w:val="-2"/>
          <w:sz w:val="24"/>
        </w:rPr>
        <w:t>WONDERGIRL</w:t>
      </w:r>
    </w:p>
    <w:p>
      <w:pPr>
        <w:pStyle w:val="BodyText"/>
        <w:spacing w:before="203"/>
        <w:rPr>
          <w:b/>
        </w:rPr>
      </w:pPr>
    </w:p>
    <w:p>
      <w:pPr>
        <w:pStyle w:val="BodyText"/>
        <w:spacing w:before="1"/>
        <w:ind w:left="734"/>
        <w:jc w:val="both"/>
      </w:pPr>
      <w:r>
        <w:rPr/>
        <w:t>en</w:t>
      </w:r>
      <w:r>
        <w:rPr>
          <w:spacing w:val="-3"/>
        </w:rPr>
        <w:t> </w:t>
      </w:r>
      <w:r>
        <w:rPr/>
        <w:t>tant que</w:t>
      </w:r>
      <w:r>
        <w:rPr>
          <w:spacing w:val="-1"/>
        </w:rPr>
        <w:t> </w:t>
      </w:r>
      <w:r>
        <w:rPr/>
        <w:t>marque</w:t>
      </w:r>
      <w:r>
        <w:rPr>
          <w:spacing w:val="-1"/>
        </w:rPr>
        <w:t> </w:t>
      </w:r>
      <w:r>
        <w:rPr/>
        <w:t>de</w:t>
      </w:r>
      <w:r>
        <w:rPr>
          <w:spacing w:val="-2"/>
        </w:rPr>
        <w:t> </w:t>
      </w:r>
      <w:r>
        <w:rPr/>
        <w:t>l’Union européenne</w:t>
      </w:r>
      <w:r>
        <w:rPr>
          <w:spacing w:val="-1"/>
        </w:rPr>
        <w:t> </w:t>
      </w:r>
      <w:r>
        <w:rPr/>
        <w:t>pour</w:t>
      </w:r>
      <w:r>
        <w:rPr>
          <w:spacing w:val="-1"/>
        </w:rPr>
        <w:t> </w:t>
      </w:r>
      <w:r>
        <w:rPr/>
        <w:t>la</w:t>
      </w:r>
      <w:r>
        <w:rPr>
          <w:spacing w:val="-1"/>
        </w:rPr>
        <w:t> </w:t>
      </w:r>
      <w:r>
        <w:rPr/>
        <w:t>liste</w:t>
      </w:r>
      <w:r>
        <w:rPr>
          <w:spacing w:val="-1"/>
        </w:rPr>
        <w:t> </w:t>
      </w:r>
      <w:r>
        <w:rPr/>
        <w:t>de</w:t>
      </w:r>
      <w:r>
        <w:rPr>
          <w:spacing w:val="-2"/>
        </w:rPr>
        <w:t> </w:t>
      </w:r>
      <w:r>
        <w:rPr/>
        <w:t>produits</w:t>
      </w:r>
      <w:r>
        <w:rPr>
          <w:spacing w:val="2"/>
        </w:rPr>
        <w:t> </w:t>
      </w:r>
      <w:r>
        <w:rPr/>
        <w:t>et services </w:t>
      </w:r>
      <w:r>
        <w:rPr>
          <w:spacing w:val="-2"/>
        </w:rPr>
        <w:t>suivante:</w:t>
      </w:r>
    </w:p>
    <w:p>
      <w:pPr>
        <w:spacing w:before="240"/>
        <w:ind w:left="734" w:right="160" w:firstLine="0"/>
        <w:jc w:val="both"/>
        <w:rPr>
          <w:i/>
          <w:sz w:val="24"/>
        </w:rPr>
      </w:pPr>
      <w:r>
        <w:rPr>
          <w:sz w:val="24"/>
        </w:rPr>
        <w:t>Classe 18:</w:t>
      </w:r>
      <w:r>
        <w:rPr>
          <w:spacing w:val="-1"/>
          <w:sz w:val="24"/>
        </w:rPr>
        <w:t> </w:t>
      </w:r>
      <w:r>
        <w:rPr>
          <w:i/>
          <w:sz w:val="24"/>
        </w:rPr>
        <w:t>Bagages, sacs, portefeuilles et autres objets de transport; Cannes; Sellerie, fouets et équipement pour animaux; Parapluies et parasols; Sacs à main; Sacoches; Sacs de voyage en imitation cuir; Sacs en simili-cuir; Sacs à bandoulière; Sacs pour couches-culottes; Enveloppes en cuir pour l’emballage; Bagages; Sacs pochettes; Sacs de tous les jours; Sacs de gymnastique; Peaux de chamois, autres que pour le nettoyage; Toile de cuir; Cuir pour chaussures; Cuir et imitations du cuir; Malles et valises; Sacs à main de voyage; Pochettes; Sacs à provisions; Sacs à provisions en peau; Étuis pour clés sous forme d’étuis; Portefeuilles avec compartiments pour</w:t>
      </w:r>
      <w:r>
        <w:rPr>
          <w:i/>
          <w:spacing w:val="80"/>
          <w:sz w:val="24"/>
        </w:rPr>
        <w:t> </w:t>
      </w:r>
      <w:r>
        <w:rPr>
          <w:i/>
          <w:sz w:val="24"/>
        </w:rPr>
        <w:t>cartes;</w:t>
      </w:r>
      <w:r>
        <w:rPr>
          <w:i/>
          <w:spacing w:val="-1"/>
          <w:sz w:val="24"/>
        </w:rPr>
        <w:t> </w:t>
      </w:r>
      <w:r>
        <w:rPr>
          <w:i/>
          <w:sz w:val="24"/>
        </w:rPr>
        <w:t>Sacs à main en cuir; Sacs à main en imitation cuir; Sacs à main, porte-monnaie et portefeuilles; Sacs à dos.</w:t>
      </w:r>
    </w:p>
    <w:p>
      <w:pPr>
        <w:spacing w:before="240"/>
        <w:ind w:left="734" w:right="0" w:firstLine="0"/>
        <w:jc w:val="both"/>
        <w:rPr>
          <w:i/>
          <w:sz w:val="24"/>
        </w:rPr>
      </w:pPr>
      <w:r>
        <w:rPr>
          <w:sz w:val="24"/>
        </w:rPr>
        <w:t>Classe</w:t>
      </w:r>
      <w:r>
        <w:rPr>
          <w:spacing w:val="-4"/>
          <w:sz w:val="24"/>
        </w:rPr>
        <w:t> </w:t>
      </w:r>
      <w:r>
        <w:rPr>
          <w:sz w:val="24"/>
        </w:rPr>
        <w:t>25:</w:t>
      </w:r>
      <w:r>
        <w:rPr>
          <w:spacing w:val="-1"/>
          <w:sz w:val="24"/>
        </w:rPr>
        <w:t> </w:t>
      </w:r>
      <w:r>
        <w:rPr>
          <w:i/>
          <w:sz w:val="24"/>
        </w:rPr>
        <w:t>Vêtements;</w:t>
      </w:r>
      <w:r>
        <w:rPr>
          <w:i/>
          <w:spacing w:val="-1"/>
          <w:sz w:val="24"/>
        </w:rPr>
        <w:t> </w:t>
      </w:r>
      <w:r>
        <w:rPr>
          <w:i/>
          <w:sz w:val="24"/>
        </w:rPr>
        <w:t>Chapellerie;</w:t>
      </w:r>
      <w:r>
        <w:rPr>
          <w:i/>
          <w:spacing w:val="-2"/>
          <w:sz w:val="24"/>
        </w:rPr>
        <w:t> </w:t>
      </w:r>
      <w:r>
        <w:rPr>
          <w:i/>
          <w:sz w:val="24"/>
        </w:rPr>
        <w:t>Chaussures; Ceintures</w:t>
      </w:r>
      <w:r>
        <w:rPr>
          <w:i/>
          <w:spacing w:val="-1"/>
          <w:sz w:val="24"/>
        </w:rPr>
        <w:t> </w:t>
      </w:r>
      <w:r>
        <w:rPr>
          <w:i/>
          <w:sz w:val="24"/>
        </w:rPr>
        <w:t>à</w:t>
      </w:r>
      <w:r>
        <w:rPr>
          <w:i/>
          <w:spacing w:val="-1"/>
          <w:sz w:val="24"/>
        </w:rPr>
        <w:t> </w:t>
      </w:r>
      <w:r>
        <w:rPr>
          <w:i/>
          <w:sz w:val="24"/>
        </w:rPr>
        <w:t>porter;</w:t>
      </w:r>
      <w:r>
        <w:rPr>
          <w:i/>
          <w:spacing w:val="-1"/>
          <w:sz w:val="24"/>
        </w:rPr>
        <w:t> </w:t>
      </w:r>
      <w:r>
        <w:rPr>
          <w:i/>
          <w:spacing w:val="-2"/>
          <w:sz w:val="24"/>
        </w:rPr>
        <w:t>Foulards.</w:t>
      </w:r>
    </w:p>
    <w:p>
      <w:pPr>
        <w:spacing w:before="241"/>
        <w:ind w:left="734" w:right="161" w:firstLine="0"/>
        <w:jc w:val="both"/>
        <w:rPr>
          <w:i/>
          <w:sz w:val="24"/>
        </w:rPr>
      </w:pPr>
      <w:r>
        <w:rPr>
          <w:sz w:val="24"/>
        </w:rPr>
        <w:t>Classe 35:</w:t>
      </w:r>
      <w:r>
        <w:rPr>
          <w:spacing w:val="-1"/>
          <w:sz w:val="24"/>
        </w:rPr>
        <w:t> </w:t>
      </w:r>
      <w:r>
        <w:rPr>
          <w:i/>
          <w:sz w:val="24"/>
        </w:rPr>
        <w:t>Services d’analyse, de recherche et d’informations commerciales; Services d’aide et de gestion des affaires et services administratifs; Services de négociations commerciales et d’information de la clientèle; Services de publicité, de marketing et de promotion; Vente au détail, également par l’intermédiaire de sites internet et de téléachat, de malles et de valises, sacs, sacs à main, portefeuilles, porte-monnaie, étuis pour</w:t>
      </w:r>
      <w:r>
        <w:rPr>
          <w:i/>
          <w:spacing w:val="-3"/>
          <w:sz w:val="24"/>
        </w:rPr>
        <w:t> </w:t>
      </w:r>
      <w:r>
        <w:rPr>
          <w:i/>
          <w:sz w:val="24"/>
        </w:rPr>
        <w:t>clés,</w:t>
      </w:r>
      <w:r>
        <w:rPr>
          <w:i/>
          <w:spacing w:val="-3"/>
          <w:sz w:val="24"/>
        </w:rPr>
        <w:t> </w:t>
      </w:r>
      <w:r>
        <w:rPr>
          <w:i/>
          <w:sz w:val="24"/>
        </w:rPr>
        <w:t>sacs</w:t>
      </w:r>
      <w:r>
        <w:rPr>
          <w:i/>
          <w:spacing w:val="-3"/>
          <w:sz w:val="24"/>
        </w:rPr>
        <w:t> </w:t>
      </w:r>
      <w:r>
        <w:rPr>
          <w:i/>
          <w:sz w:val="24"/>
        </w:rPr>
        <w:t>à</w:t>
      </w:r>
      <w:r>
        <w:rPr>
          <w:i/>
          <w:spacing w:val="-2"/>
          <w:sz w:val="24"/>
        </w:rPr>
        <w:t> </w:t>
      </w:r>
      <w:r>
        <w:rPr>
          <w:i/>
          <w:sz w:val="24"/>
        </w:rPr>
        <w:t>dos,</w:t>
      </w:r>
      <w:r>
        <w:rPr>
          <w:i/>
          <w:spacing w:val="-3"/>
          <w:sz w:val="24"/>
        </w:rPr>
        <w:t> </w:t>
      </w:r>
      <w:r>
        <w:rPr>
          <w:i/>
          <w:sz w:val="24"/>
        </w:rPr>
        <w:t>pochettes,</w:t>
      </w:r>
      <w:r>
        <w:rPr>
          <w:i/>
          <w:spacing w:val="-3"/>
          <w:sz w:val="24"/>
        </w:rPr>
        <w:t> </w:t>
      </w:r>
      <w:r>
        <w:rPr>
          <w:i/>
          <w:sz w:val="24"/>
        </w:rPr>
        <w:t>parapluies,</w:t>
      </w:r>
      <w:r>
        <w:rPr>
          <w:i/>
          <w:spacing w:val="-3"/>
          <w:sz w:val="24"/>
        </w:rPr>
        <w:t> </w:t>
      </w:r>
      <w:r>
        <w:rPr>
          <w:i/>
          <w:sz w:val="24"/>
        </w:rPr>
        <w:t>vêtements,</w:t>
      </w:r>
      <w:r>
        <w:rPr>
          <w:i/>
          <w:spacing w:val="-3"/>
          <w:sz w:val="24"/>
        </w:rPr>
        <w:t> </w:t>
      </w:r>
      <w:r>
        <w:rPr>
          <w:i/>
          <w:sz w:val="24"/>
        </w:rPr>
        <w:t>chaussures,</w:t>
      </w:r>
      <w:r>
        <w:rPr>
          <w:i/>
          <w:spacing w:val="-3"/>
          <w:sz w:val="24"/>
        </w:rPr>
        <w:t> </w:t>
      </w:r>
      <w:r>
        <w:rPr>
          <w:i/>
          <w:sz w:val="24"/>
        </w:rPr>
        <w:t>chapellerie,</w:t>
      </w:r>
      <w:r>
        <w:rPr>
          <w:i/>
          <w:spacing w:val="-3"/>
          <w:sz w:val="24"/>
        </w:rPr>
        <w:t> </w:t>
      </w:r>
      <w:r>
        <w:rPr>
          <w:i/>
          <w:sz w:val="24"/>
        </w:rPr>
        <w:t>savons, parfumerie,</w:t>
      </w:r>
      <w:r>
        <w:rPr>
          <w:i/>
          <w:spacing w:val="-3"/>
          <w:sz w:val="24"/>
        </w:rPr>
        <w:t> </w:t>
      </w:r>
      <w:r>
        <w:rPr>
          <w:i/>
          <w:sz w:val="24"/>
        </w:rPr>
        <w:t>huiles</w:t>
      </w:r>
      <w:r>
        <w:rPr>
          <w:i/>
          <w:spacing w:val="-2"/>
          <w:sz w:val="24"/>
        </w:rPr>
        <w:t> </w:t>
      </w:r>
      <w:r>
        <w:rPr>
          <w:i/>
          <w:sz w:val="24"/>
        </w:rPr>
        <w:t>essentielles,</w:t>
      </w:r>
      <w:r>
        <w:rPr>
          <w:i/>
          <w:spacing w:val="-3"/>
          <w:sz w:val="24"/>
        </w:rPr>
        <w:t> </w:t>
      </w:r>
      <w:r>
        <w:rPr>
          <w:i/>
          <w:sz w:val="24"/>
        </w:rPr>
        <w:t>cosmétiques,</w:t>
      </w:r>
      <w:r>
        <w:rPr>
          <w:i/>
          <w:spacing w:val="-2"/>
          <w:sz w:val="24"/>
        </w:rPr>
        <w:t> </w:t>
      </w:r>
      <w:r>
        <w:rPr>
          <w:i/>
          <w:sz w:val="24"/>
        </w:rPr>
        <w:t>lotions</w:t>
      </w:r>
      <w:r>
        <w:rPr>
          <w:i/>
          <w:spacing w:val="-2"/>
          <w:sz w:val="24"/>
        </w:rPr>
        <w:t> </w:t>
      </w:r>
      <w:r>
        <w:rPr>
          <w:i/>
          <w:sz w:val="24"/>
        </w:rPr>
        <w:t>pour</w:t>
      </w:r>
      <w:r>
        <w:rPr>
          <w:i/>
          <w:spacing w:val="-2"/>
          <w:sz w:val="24"/>
        </w:rPr>
        <w:t> </w:t>
      </w:r>
      <w:r>
        <w:rPr>
          <w:i/>
          <w:sz w:val="24"/>
        </w:rPr>
        <w:t>les</w:t>
      </w:r>
      <w:r>
        <w:rPr>
          <w:i/>
          <w:spacing w:val="-3"/>
          <w:sz w:val="24"/>
        </w:rPr>
        <w:t> </w:t>
      </w:r>
      <w:r>
        <w:rPr>
          <w:i/>
          <w:sz w:val="24"/>
        </w:rPr>
        <w:t>cheveux,</w:t>
      </w:r>
      <w:r>
        <w:rPr>
          <w:i/>
          <w:spacing w:val="-2"/>
          <w:sz w:val="24"/>
        </w:rPr>
        <w:t> </w:t>
      </w:r>
      <w:r>
        <w:rPr>
          <w:i/>
          <w:sz w:val="24"/>
        </w:rPr>
        <w:t>lunettes</w:t>
      </w:r>
      <w:r>
        <w:rPr>
          <w:i/>
          <w:spacing w:val="-3"/>
          <w:sz w:val="24"/>
        </w:rPr>
        <w:t> </w:t>
      </w:r>
      <w:r>
        <w:rPr>
          <w:i/>
          <w:sz w:val="24"/>
        </w:rPr>
        <w:t>de</w:t>
      </w:r>
      <w:r>
        <w:rPr>
          <w:i/>
          <w:spacing w:val="-3"/>
          <w:sz w:val="24"/>
        </w:rPr>
        <w:t> </w:t>
      </w:r>
      <w:r>
        <w:rPr>
          <w:i/>
          <w:sz w:val="24"/>
        </w:rPr>
        <w:t>soleil, métaux précieux et leurs alliages, joaillerie, bijouterie, pierres précieuses, horloges et montres; Organisation et conduite de manifestations publicitaires et de programmes de fidélisation de la clientèle; Services de vente au détail, également par l’intermédiaire</w:t>
      </w:r>
      <w:r>
        <w:rPr>
          <w:i/>
          <w:spacing w:val="40"/>
          <w:sz w:val="24"/>
        </w:rPr>
        <w:t> </w:t>
      </w:r>
      <w:r>
        <w:rPr>
          <w:i/>
          <w:sz w:val="24"/>
        </w:rPr>
        <w:t>de sites internet et de téléachat, en rapport avec des ceintures, écharpes, valises, </w:t>
      </w:r>
      <w:r>
        <w:rPr>
          <w:i/>
          <w:spacing w:val="-2"/>
          <w:sz w:val="24"/>
        </w:rPr>
        <w:t>parasols.</w:t>
      </w:r>
    </w:p>
    <w:p>
      <w:pPr>
        <w:pStyle w:val="ListParagraph"/>
        <w:numPr>
          <w:ilvl w:val="0"/>
          <w:numId w:val="1"/>
        </w:numPr>
        <w:tabs>
          <w:tab w:pos="731" w:val="left" w:leader="none"/>
        </w:tabs>
        <w:spacing w:line="240" w:lineRule="auto" w:before="241" w:after="0"/>
        <w:ind w:left="731" w:right="173" w:hanging="567"/>
        <w:jc w:val="both"/>
        <w:rPr>
          <w:sz w:val="24"/>
        </w:rPr>
      </w:pPr>
      <w:r>
        <w:rPr>
          <w:sz w:val="24"/>
        </w:rPr>
        <w:t>La demande a été publiée le 17 février 2015 et la marque a été enregistrée le 27 mai </w:t>
      </w:r>
      <w:r>
        <w:rPr>
          <w:spacing w:val="-2"/>
          <w:sz w:val="24"/>
        </w:rPr>
        <w:t>2015.</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Le 2 mars 2023, Hoboken INVERSIONES, S.L. (ci-après la «demanderesse en annulation») a déposé une demande en déchéance à l’encontre de la marque enregistrée pour l’ensemble des produits et services susmentionnés.</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Les motifs de la demande en déchéance étaient ceux visés à l’article 58, paragraphe</w:t>
      </w:r>
      <w:r>
        <w:rPr>
          <w:spacing w:val="-3"/>
          <w:sz w:val="24"/>
        </w:rPr>
        <w:t> </w:t>
      </w:r>
      <w:r>
        <w:rPr>
          <w:sz w:val="24"/>
        </w:rPr>
        <w:t>1, point a), du RMUE.</w:t>
      </w:r>
    </w:p>
    <w:p>
      <w:pPr>
        <w:pStyle w:val="BodyText"/>
        <w:rPr>
          <w:sz w:val="18"/>
        </w:rPr>
      </w:pPr>
    </w:p>
    <w:p>
      <w:pPr>
        <w:pStyle w:val="BodyText"/>
        <w:rPr>
          <w:sz w:val="18"/>
        </w:rPr>
      </w:pPr>
    </w:p>
    <w:p>
      <w:pPr>
        <w:pStyle w:val="BodyText"/>
        <w:rPr>
          <w:sz w:val="18"/>
        </w:rPr>
      </w:pPr>
    </w:p>
    <w:p>
      <w:pPr>
        <w:pStyle w:val="BodyText"/>
        <w:spacing w:before="18"/>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headerReference w:type="default" r:id="rId6"/>
          <w:pgSz w:w="11910" w:h="16840"/>
          <w:pgMar w:header="969" w:footer="0" w:top="1220" w:bottom="280" w:left="1275" w:right="1275"/>
          <w:pgNumType w:start="2"/>
        </w:sectPr>
      </w:pPr>
    </w:p>
    <w:p>
      <w:pPr>
        <w:pStyle w:val="ListParagraph"/>
        <w:numPr>
          <w:ilvl w:val="0"/>
          <w:numId w:val="1"/>
        </w:numPr>
        <w:tabs>
          <w:tab w:pos="731" w:val="left" w:leader="none"/>
        </w:tabs>
        <w:spacing w:line="240" w:lineRule="auto" w:before="204" w:after="0"/>
        <w:ind w:left="731" w:right="165" w:hanging="567"/>
        <w:jc w:val="left"/>
        <w:rPr>
          <w:sz w:val="24"/>
        </w:rPr>
      </w:pPr>
      <w:r>
        <w:rPr>
          <w:sz w:val="24"/>
        </w:rPr>
        <mc:AlternateContent>
          <mc:Choice Requires="wps">
            <w:drawing>
              <wp:anchor distT="0" distB="0" distL="0" distR="0" allowOverlap="1" layoutInCell="1" locked="0" behindDoc="0" simplePos="0" relativeHeight="15730688">
                <wp:simplePos x="0" y="0"/>
                <wp:positionH relativeFrom="page">
                  <wp:posOffset>270575</wp:posOffset>
                </wp:positionH>
                <wp:positionV relativeFrom="page">
                  <wp:posOffset>1114363</wp:posOffset>
                </wp:positionV>
                <wp:extent cx="146050" cy="92100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0688" type="#_x0000_t202" id="docshape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4"/>
        </w:rPr>
        <w:t>Le</w:t>
      </w:r>
      <w:r>
        <w:rPr>
          <w:spacing w:val="40"/>
          <w:sz w:val="24"/>
        </w:rPr>
        <w:t> </w:t>
      </w:r>
      <w:r>
        <w:rPr>
          <w:sz w:val="24"/>
        </w:rPr>
        <w:t>10</w:t>
      </w:r>
      <w:r>
        <w:rPr>
          <w:spacing w:val="40"/>
          <w:sz w:val="24"/>
        </w:rPr>
        <w:t> </w:t>
      </w:r>
      <w:r>
        <w:rPr>
          <w:sz w:val="24"/>
        </w:rPr>
        <w:t>juillet</w:t>
      </w:r>
      <w:r>
        <w:rPr>
          <w:spacing w:val="40"/>
          <w:sz w:val="24"/>
        </w:rPr>
        <w:t> </w:t>
      </w:r>
      <w:r>
        <w:rPr>
          <w:sz w:val="24"/>
        </w:rPr>
        <w:t>2023,</w:t>
      </w:r>
      <w:r>
        <w:rPr>
          <w:spacing w:val="40"/>
          <w:sz w:val="24"/>
        </w:rPr>
        <w:t> </w:t>
      </w:r>
      <w:r>
        <w:rPr>
          <w:sz w:val="24"/>
        </w:rPr>
        <w:t>la</w:t>
      </w:r>
      <w:r>
        <w:rPr>
          <w:spacing w:val="40"/>
          <w:sz w:val="24"/>
        </w:rPr>
        <w:t> </w:t>
      </w:r>
      <w:r>
        <w:rPr>
          <w:sz w:val="24"/>
        </w:rPr>
        <w:t>titulaire</w:t>
      </w:r>
      <w:r>
        <w:rPr>
          <w:spacing w:val="40"/>
          <w:sz w:val="24"/>
        </w:rPr>
        <w:t> </w:t>
      </w:r>
      <w:r>
        <w:rPr>
          <w:sz w:val="24"/>
        </w:rPr>
        <w:t>de</w:t>
      </w:r>
      <w:r>
        <w:rPr>
          <w:spacing w:val="40"/>
          <w:sz w:val="24"/>
        </w:rPr>
        <w:t> </w:t>
      </w:r>
      <w:r>
        <w:rPr>
          <w:sz w:val="24"/>
        </w:rPr>
        <w:t>la</w:t>
      </w:r>
      <w:r>
        <w:rPr>
          <w:spacing w:val="40"/>
          <w:sz w:val="24"/>
        </w:rPr>
        <w:t> </w:t>
      </w:r>
      <w:r>
        <w:rPr>
          <w:sz w:val="24"/>
        </w:rPr>
        <w:t>marque</w:t>
      </w:r>
      <w:r>
        <w:rPr>
          <w:spacing w:val="40"/>
          <w:sz w:val="24"/>
        </w:rPr>
        <w:t> </w:t>
      </w:r>
      <w:r>
        <w:rPr>
          <w:sz w:val="24"/>
        </w:rPr>
        <w:t>de</w:t>
      </w:r>
      <w:r>
        <w:rPr>
          <w:spacing w:val="40"/>
          <w:sz w:val="24"/>
        </w:rPr>
        <w:t> </w:t>
      </w:r>
      <w:r>
        <w:rPr>
          <w:sz w:val="24"/>
        </w:rPr>
        <w:t>l’Union</w:t>
      </w:r>
      <w:r>
        <w:rPr>
          <w:spacing w:val="40"/>
          <w:sz w:val="24"/>
        </w:rPr>
        <w:t> </w:t>
      </w:r>
      <w:r>
        <w:rPr>
          <w:sz w:val="24"/>
        </w:rPr>
        <w:t>européenne</w:t>
      </w:r>
      <w:r>
        <w:rPr>
          <w:spacing w:val="40"/>
          <w:sz w:val="24"/>
        </w:rPr>
        <w:t> </w:t>
      </w:r>
      <w:r>
        <w:rPr>
          <w:sz w:val="24"/>
        </w:rPr>
        <w:t>a</w:t>
      </w:r>
      <w:r>
        <w:rPr>
          <w:spacing w:val="40"/>
          <w:sz w:val="24"/>
        </w:rPr>
        <w:t> </w:t>
      </w:r>
      <w:r>
        <w:rPr>
          <w:sz w:val="24"/>
        </w:rPr>
        <w:t>produit</w:t>
      </w:r>
      <w:r>
        <w:rPr>
          <w:spacing w:val="40"/>
          <w:sz w:val="24"/>
        </w:rPr>
        <w:t> </w:t>
      </w:r>
      <w:r>
        <w:rPr>
          <w:sz w:val="24"/>
        </w:rPr>
        <w:t>les</w:t>
      </w:r>
      <w:r>
        <w:rPr>
          <w:spacing w:val="80"/>
          <w:sz w:val="24"/>
        </w:rPr>
        <w:t> </w:t>
      </w:r>
      <w:r>
        <w:rPr>
          <w:sz w:val="24"/>
        </w:rPr>
        <w:t>éléments de preuve suivants à titre de preuve de l’usage sérieux:</w:t>
      </w:r>
    </w:p>
    <w:p>
      <w:pPr>
        <w:pStyle w:val="ListParagraph"/>
        <w:numPr>
          <w:ilvl w:val="1"/>
          <w:numId w:val="1"/>
        </w:numPr>
        <w:tabs>
          <w:tab w:pos="1296" w:val="left" w:leader="none"/>
          <w:tab w:pos="1298" w:val="left" w:leader="none"/>
        </w:tabs>
        <w:spacing w:line="240" w:lineRule="auto" w:before="240" w:after="0"/>
        <w:ind w:left="1298" w:right="164" w:hanging="567"/>
        <w:jc w:val="both"/>
        <w:rPr>
          <w:sz w:val="24"/>
        </w:rPr>
      </w:pPr>
      <w:r>
        <w:rPr>
          <w:b/>
          <w:sz w:val="24"/>
          <w:u w:val="single"/>
        </w:rPr>
        <w:t>Pièce 1</w:t>
      </w:r>
      <w:r>
        <w:rPr>
          <w:sz w:val="24"/>
        </w:rPr>
        <w:t>: déclaration tenant lieu de serment signée par le directeur général de Copenhagen Studios GmbH</w:t>
      </w:r>
      <w:r>
        <w:rPr>
          <w:spacing w:val="-1"/>
          <w:sz w:val="24"/>
        </w:rPr>
        <w:t> </w:t>
      </w:r>
      <w:r>
        <w:rPr>
          <w:sz w:val="24"/>
        </w:rPr>
        <w:t>(la</w:t>
      </w:r>
      <w:r>
        <w:rPr>
          <w:spacing w:val="-1"/>
          <w:sz w:val="24"/>
        </w:rPr>
        <w:t> </w:t>
      </w:r>
      <w:r>
        <w:rPr>
          <w:sz w:val="24"/>
        </w:rPr>
        <w:t>titulaire</w:t>
      </w:r>
      <w:r>
        <w:rPr>
          <w:spacing w:val="-1"/>
          <w:sz w:val="24"/>
        </w:rPr>
        <w:t> </w:t>
      </w:r>
      <w:r>
        <w:rPr>
          <w:sz w:val="24"/>
        </w:rPr>
        <w:t>de</w:t>
      </w:r>
      <w:r>
        <w:rPr>
          <w:spacing w:val="-1"/>
          <w:sz w:val="24"/>
        </w:rPr>
        <w:t> </w:t>
      </w:r>
      <w:r>
        <w:rPr>
          <w:sz w:val="24"/>
        </w:rPr>
        <w:t>la</w:t>
      </w:r>
      <w:r>
        <w:rPr>
          <w:spacing w:val="-1"/>
          <w:sz w:val="24"/>
        </w:rPr>
        <w:t> </w:t>
      </w:r>
      <w:r>
        <w:rPr>
          <w:sz w:val="24"/>
        </w:rPr>
        <w:t>marque</w:t>
      </w:r>
      <w:r>
        <w:rPr>
          <w:spacing w:val="-1"/>
          <w:sz w:val="24"/>
        </w:rPr>
        <w:t> </w:t>
      </w:r>
      <w:r>
        <w:rPr>
          <w:sz w:val="24"/>
        </w:rPr>
        <w:t>de</w:t>
      </w:r>
      <w:r>
        <w:rPr>
          <w:spacing w:val="-1"/>
          <w:sz w:val="24"/>
        </w:rPr>
        <w:t> </w:t>
      </w:r>
      <w:r>
        <w:rPr>
          <w:sz w:val="24"/>
        </w:rPr>
        <w:t>l’Union européenne)</w:t>
      </w:r>
      <w:r>
        <w:rPr>
          <w:spacing w:val="-1"/>
          <w:sz w:val="24"/>
        </w:rPr>
        <w:t> </w:t>
      </w:r>
      <w:r>
        <w:rPr>
          <w:sz w:val="24"/>
        </w:rPr>
        <w:t>le</w:t>
      </w:r>
      <w:r>
        <w:rPr>
          <w:spacing w:val="-1"/>
          <w:sz w:val="24"/>
        </w:rPr>
        <w:t> </w:t>
      </w:r>
      <w:r>
        <w:rPr>
          <w:sz w:val="24"/>
        </w:rPr>
        <w:t>8 juillet 2023, attestant que</w:t>
      </w:r>
      <w:r>
        <w:rPr>
          <w:spacing w:val="-2"/>
          <w:sz w:val="24"/>
        </w:rPr>
        <w:t> </w:t>
      </w:r>
      <w:r>
        <w:rPr>
          <w:sz w:val="24"/>
        </w:rPr>
        <w:t>la titulaire de la marque de l’Union européenne a utilisé la marque contestée pour des chaussures au sein de l’Union européenne par le biais de magasins en gros, de vente au détail et de vente en ligne;</w:t>
      </w:r>
    </w:p>
    <w:p>
      <w:pPr>
        <w:pStyle w:val="ListParagraph"/>
        <w:numPr>
          <w:ilvl w:val="1"/>
          <w:numId w:val="1"/>
        </w:numPr>
        <w:tabs>
          <w:tab w:pos="1296" w:val="left" w:leader="none"/>
          <w:tab w:pos="1298" w:val="left" w:leader="none"/>
        </w:tabs>
        <w:spacing w:line="240" w:lineRule="auto" w:before="239" w:after="0"/>
        <w:ind w:left="1298" w:right="167" w:hanging="567"/>
        <w:jc w:val="both"/>
        <w:rPr>
          <w:sz w:val="24"/>
        </w:rPr>
      </w:pPr>
      <w:r>
        <w:rPr>
          <w:sz w:val="24"/>
        </w:rPr>
        <w:t>L’affirmation explique qu’à la fin de 2017, l’agence allemande «Even on</w:t>
      </w:r>
      <w:r>
        <w:rPr>
          <w:spacing w:val="40"/>
          <w:sz w:val="24"/>
        </w:rPr>
        <w:t> </w:t>
      </w:r>
      <w:r>
        <w:rPr>
          <w:sz w:val="24"/>
        </w:rPr>
        <w:t>Sunday» a été commandée pour développer une identité de marque et un dessin</w:t>
      </w:r>
      <w:r>
        <w:rPr>
          <w:spacing w:val="40"/>
          <w:sz w:val="24"/>
        </w:rPr>
        <w:t> </w:t>
      </w:r>
      <w:r>
        <w:rPr>
          <w:sz w:val="24"/>
        </w:rPr>
        <w:t>de logo pour «WONDERGIRL» ainsi que pour créer une vidéo de marque. En 2019, l’infrastructure de production des chaussures a été créée en Italie, où un certain nombre de prototypes ont été développés et des améliorations significatives ont été réalisées. L’épidémie de la pandémie de goudron 19 a considérablement retardé le lancement prévu du marché. Une commande de production volumineuse a été passée fin 2020 (annexe 1).</w:t>
      </w:r>
    </w:p>
    <w:p>
      <w:pPr>
        <w:pStyle w:val="ListParagraph"/>
        <w:numPr>
          <w:ilvl w:val="1"/>
          <w:numId w:val="1"/>
        </w:numPr>
        <w:tabs>
          <w:tab w:pos="1296" w:val="left" w:leader="none"/>
          <w:tab w:pos="1298" w:val="left" w:leader="none"/>
        </w:tabs>
        <w:spacing w:line="240" w:lineRule="auto" w:before="239" w:after="0"/>
        <w:ind w:left="1298" w:right="162" w:hanging="567"/>
        <w:jc w:val="both"/>
        <w:rPr>
          <w:sz w:val="24"/>
        </w:rPr>
      </w:pPr>
      <w:r>
        <w:rPr>
          <w:sz w:val="24"/>
        </w:rPr>
        <w:t>La déclaration fait référence aux chiffres d’affaires concernant les chaussures de la marque «WONDERGIRL» du 2021 au 2 mars 2023, indiquant que plusieurs centaines d’articles ont</w:t>
      </w:r>
      <w:r>
        <w:rPr>
          <w:spacing w:val="38"/>
          <w:sz w:val="24"/>
        </w:rPr>
        <w:t> </w:t>
      </w:r>
      <w:r>
        <w:rPr>
          <w:sz w:val="24"/>
        </w:rPr>
        <w:t>été vendus au cours de cette période, générant</w:t>
      </w:r>
      <w:r>
        <w:rPr>
          <w:spacing w:val="38"/>
          <w:sz w:val="24"/>
        </w:rPr>
        <w:t> </w:t>
      </w:r>
      <w:r>
        <w:rPr>
          <w:sz w:val="24"/>
        </w:rPr>
        <w:t>plus de</w:t>
      </w:r>
      <w:r>
        <w:rPr>
          <w:spacing w:val="40"/>
          <w:sz w:val="24"/>
        </w:rPr>
        <w:t> </w:t>
      </w:r>
      <w:r>
        <w:rPr>
          <w:sz w:val="24"/>
        </w:rPr>
        <w:t>100 000 EUR de recettes.</w:t>
      </w:r>
    </w:p>
    <w:p>
      <w:pPr>
        <w:pStyle w:val="ListParagraph"/>
        <w:numPr>
          <w:ilvl w:val="1"/>
          <w:numId w:val="1"/>
        </w:numPr>
        <w:tabs>
          <w:tab w:pos="1296" w:val="left" w:leader="none"/>
          <w:tab w:pos="1298" w:val="left" w:leader="none"/>
        </w:tabs>
        <w:spacing w:line="240" w:lineRule="auto" w:before="239" w:after="0"/>
        <w:ind w:left="1298" w:right="166" w:hanging="567"/>
        <w:jc w:val="both"/>
        <w:rPr>
          <w:sz w:val="24"/>
        </w:rPr>
      </w:pPr>
      <w:r>
        <w:rPr>
          <w:sz w:val="24"/>
        </w:rPr>
        <w:t>Cette affirmation cite des factures datées de 2021, 2022 et 2023 à titre de preuve des</w:t>
      </w:r>
      <w:r>
        <w:rPr>
          <w:spacing w:val="-3"/>
          <w:sz w:val="24"/>
        </w:rPr>
        <w:t> </w:t>
      </w:r>
      <w:r>
        <w:rPr>
          <w:sz w:val="24"/>
        </w:rPr>
        <w:t>ventes</w:t>
      </w:r>
      <w:r>
        <w:rPr>
          <w:spacing w:val="-3"/>
          <w:sz w:val="24"/>
        </w:rPr>
        <w:t> </w:t>
      </w:r>
      <w:r>
        <w:rPr>
          <w:sz w:val="24"/>
        </w:rPr>
        <w:t>de</w:t>
      </w:r>
      <w:r>
        <w:rPr>
          <w:spacing w:val="-3"/>
          <w:sz w:val="24"/>
        </w:rPr>
        <w:t> </w:t>
      </w:r>
      <w:r>
        <w:rPr>
          <w:sz w:val="24"/>
        </w:rPr>
        <w:t>chaussures</w:t>
      </w:r>
      <w:r>
        <w:rPr>
          <w:spacing w:val="-1"/>
          <w:sz w:val="24"/>
        </w:rPr>
        <w:t> </w:t>
      </w:r>
      <w:r>
        <w:rPr>
          <w:sz w:val="24"/>
        </w:rPr>
        <w:t>de</w:t>
      </w:r>
      <w:r>
        <w:rPr>
          <w:spacing w:val="-4"/>
          <w:sz w:val="24"/>
        </w:rPr>
        <w:t> </w:t>
      </w:r>
      <w:r>
        <w:rPr>
          <w:sz w:val="24"/>
        </w:rPr>
        <w:t>la</w:t>
      </w:r>
      <w:r>
        <w:rPr>
          <w:spacing w:val="-3"/>
          <w:sz w:val="24"/>
        </w:rPr>
        <w:t> </w:t>
      </w:r>
      <w:r>
        <w:rPr>
          <w:sz w:val="24"/>
        </w:rPr>
        <w:t>marque «WONDERGIRL»</w:t>
      </w:r>
      <w:r>
        <w:rPr>
          <w:spacing w:val="-9"/>
          <w:sz w:val="24"/>
        </w:rPr>
        <w:t> </w:t>
      </w:r>
      <w:r>
        <w:rPr>
          <w:sz w:val="24"/>
        </w:rPr>
        <w:t>(annexe</w:t>
      </w:r>
      <w:r>
        <w:rPr>
          <w:spacing w:val="-4"/>
          <w:sz w:val="24"/>
        </w:rPr>
        <w:t> </w:t>
      </w:r>
      <w:r>
        <w:rPr>
          <w:sz w:val="24"/>
        </w:rPr>
        <w:t>2)</w:t>
      </w:r>
      <w:r>
        <w:rPr>
          <w:spacing w:val="-3"/>
          <w:sz w:val="24"/>
        </w:rPr>
        <w:t> </w:t>
      </w:r>
      <w:r>
        <w:rPr>
          <w:sz w:val="24"/>
        </w:rPr>
        <w:t>et</w:t>
      </w:r>
      <w:r>
        <w:rPr>
          <w:spacing w:val="-3"/>
          <w:sz w:val="24"/>
        </w:rPr>
        <w:t> </w:t>
      </w:r>
      <w:r>
        <w:rPr>
          <w:sz w:val="24"/>
        </w:rPr>
        <w:t>inclut</w:t>
      </w:r>
      <w:r>
        <w:rPr>
          <w:spacing w:val="-3"/>
          <w:sz w:val="24"/>
        </w:rPr>
        <w:t> </w:t>
      </w:r>
      <w:r>
        <w:rPr>
          <w:sz w:val="24"/>
        </w:rPr>
        <w:t>des captures d’écran datées du 5 juillet 2023 provenant de la boutique en ligne de la titulaire de la marque de l’Union européenne, montrant des chaussures de marque</w:t>
      </w:r>
    </w:p>
    <w:p>
      <w:pPr>
        <w:pStyle w:val="BodyText"/>
        <w:ind w:left="1298" w:right="171"/>
        <w:jc w:val="both"/>
      </w:pPr>
      <w:r>
        <w:rPr/>
        <w:t>«WONDERGIRL» disponibles à la vente (annexe 3). La déclaration affirme que ces produits sont disponibles pour un achat en ligne depuis 2021.</w:t>
      </w:r>
    </w:p>
    <w:p>
      <w:pPr>
        <w:pStyle w:val="ListParagraph"/>
        <w:numPr>
          <w:ilvl w:val="1"/>
          <w:numId w:val="1"/>
        </w:numPr>
        <w:tabs>
          <w:tab w:pos="1296" w:val="left" w:leader="none"/>
          <w:tab w:pos="1298" w:val="left" w:leader="none"/>
        </w:tabs>
        <w:spacing w:line="240" w:lineRule="auto" w:before="239" w:after="0"/>
        <w:ind w:left="1298" w:right="169" w:hanging="567"/>
        <w:jc w:val="both"/>
        <w:rPr>
          <w:sz w:val="24"/>
        </w:rPr>
      </w:pPr>
      <w:r>
        <w:rPr>
          <w:sz w:val="24"/>
        </w:rPr>
        <w:t>En outre, la déclaration fait référence à des photos prétendument prises entre le 4 mai</w:t>
      </w:r>
      <w:r>
        <w:rPr>
          <w:spacing w:val="80"/>
          <w:sz w:val="24"/>
        </w:rPr>
        <w:t> </w:t>
      </w:r>
      <w:r>
        <w:rPr>
          <w:sz w:val="24"/>
        </w:rPr>
        <w:t>2023</w:t>
      </w:r>
      <w:r>
        <w:rPr>
          <w:spacing w:val="80"/>
          <w:sz w:val="24"/>
        </w:rPr>
        <w:t> </w:t>
      </w:r>
      <w:r>
        <w:rPr>
          <w:sz w:val="24"/>
        </w:rPr>
        <w:t>et</w:t>
      </w:r>
      <w:r>
        <w:rPr>
          <w:spacing w:val="80"/>
          <w:sz w:val="24"/>
        </w:rPr>
        <w:t> </w:t>
      </w:r>
      <w:r>
        <w:rPr>
          <w:sz w:val="24"/>
        </w:rPr>
        <w:t>le</w:t>
      </w:r>
      <w:r>
        <w:rPr>
          <w:spacing w:val="80"/>
          <w:sz w:val="24"/>
        </w:rPr>
        <w:t> </w:t>
      </w:r>
      <w:r>
        <w:rPr>
          <w:sz w:val="24"/>
        </w:rPr>
        <w:t>12</w:t>
      </w:r>
      <w:r>
        <w:rPr>
          <w:spacing w:val="80"/>
          <w:sz w:val="24"/>
        </w:rPr>
        <w:t> </w:t>
      </w:r>
      <w:r>
        <w:rPr>
          <w:sz w:val="24"/>
        </w:rPr>
        <w:t>juin</w:t>
      </w:r>
      <w:r>
        <w:rPr>
          <w:spacing w:val="80"/>
          <w:sz w:val="24"/>
        </w:rPr>
        <w:t> </w:t>
      </w:r>
      <w:r>
        <w:rPr>
          <w:sz w:val="24"/>
        </w:rPr>
        <w:t>2023</w:t>
      </w:r>
      <w:r>
        <w:rPr>
          <w:spacing w:val="80"/>
          <w:sz w:val="24"/>
        </w:rPr>
        <w:t> </w:t>
      </w:r>
      <w:r>
        <w:rPr>
          <w:sz w:val="24"/>
        </w:rPr>
        <w:t>de</w:t>
      </w:r>
      <w:r>
        <w:rPr>
          <w:spacing w:val="79"/>
          <w:sz w:val="24"/>
        </w:rPr>
        <w:t> </w:t>
      </w:r>
      <w:r>
        <w:rPr>
          <w:sz w:val="24"/>
        </w:rPr>
        <w:t>boîtes</w:t>
      </w:r>
      <w:r>
        <w:rPr>
          <w:spacing w:val="80"/>
          <w:sz w:val="24"/>
        </w:rPr>
        <w:t> </w:t>
      </w:r>
      <w:r>
        <w:rPr>
          <w:sz w:val="24"/>
        </w:rPr>
        <w:t>à</w:t>
      </w:r>
      <w:r>
        <w:rPr>
          <w:spacing w:val="79"/>
          <w:sz w:val="24"/>
        </w:rPr>
        <w:t> </w:t>
      </w:r>
      <w:r>
        <w:rPr>
          <w:sz w:val="24"/>
        </w:rPr>
        <w:t>chaussures</w:t>
      </w:r>
      <w:r>
        <w:rPr>
          <w:spacing w:val="80"/>
          <w:sz w:val="24"/>
        </w:rPr>
        <w:t> </w:t>
      </w:r>
      <w:r>
        <w:rPr>
          <w:sz w:val="24"/>
        </w:rPr>
        <w:t>pour</w:t>
      </w:r>
      <w:r>
        <w:rPr>
          <w:spacing w:val="80"/>
          <w:sz w:val="24"/>
        </w:rPr>
        <w:t> </w:t>
      </w:r>
      <w:r>
        <w:rPr>
          <w:sz w:val="24"/>
        </w:rPr>
        <w:t>des</w:t>
      </w:r>
      <w:r>
        <w:rPr>
          <w:spacing w:val="80"/>
          <w:sz w:val="24"/>
        </w:rPr>
        <w:t> </w:t>
      </w:r>
      <w:r>
        <w:rPr>
          <w:sz w:val="24"/>
        </w:rPr>
        <w:t>chaussures</w:t>
      </w:r>
    </w:p>
    <w:p>
      <w:pPr>
        <w:pStyle w:val="BodyText"/>
        <w:spacing w:before="2"/>
        <w:ind w:left="1298" w:right="170"/>
        <w:jc w:val="both"/>
      </w:pPr>
      <w:r>
        <w:rPr/>
        <w:t>«WONDERGIRL» (annexe 4), ainsi que des photos prétendument prises le 1</w:t>
      </w:r>
      <w:r>
        <w:rPr>
          <w:spacing w:val="40"/>
        </w:rPr>
        <w:t> </w:t>
      </w:r>
      <w:r>
        <w:rPr/>
        <w:t>mars 2023 pour des chaussures «WONDERGIRL» (annexe 5).</w:t>
      </w:r>
    </w:p>
    <w:p>
      <w:pPr>
        <w:pStyle w:val="ListParagraph"/>
        <w:numPr>
          <w:ilvl w:val="1"/>
          <w:numId w:val="1"/>
        </w:numPr>
        <w:tabs>
          <w:tab w:pos="1296" w:val="left" w:leader="none"/>
          <w:tab w:pos="1298" w:val="left" w:leader="none"/>
        </w:tabs>
        <w:spacing w:line="240" w:lineRule="auto" w:before="240" w:after="0"/>
        <w:ind w:left="1298" w:right="160" w:hanging="567"/>
        <w:jc w:val="both"/>
        <w:rPr>
          <w:sz w:val="24"/>
        </w:rPr>
      </w:pPr>
      <w:r>
        <w:rPr>
          <w:sz w:val="24"/>
          <w:u w:val="single"/>
        </w:rPr>
        <w:t>Annexe 1</w:t>
      </w:r>
      <w:r>
        <w:rPr>
          <w:sz w:val="24"/>
        </w:rPr>
        <w:t>: une commande de produits de la titulaire de la marque de l’Union européenne avec une adresse en Allemagne, sur </w:t>
      </w:r>
      <w:r>
        <w:rPr>
          <w:spacing w:val="13"/>
          <w:position w:val="1"/>
          <w:sz w:val="24"/>
        </w:rPr>
        <w:drawing>
          <wp:inline distT="0" distB="0" distL="0" distR="0">
            <wp:extent cx="1173479" cy="396849"/>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173479" cy="396849"/>
                    </a:xfrm>
                    <a:prstGeom prst="rect">
                      <a:avLst/>
                    </a:prstGeom>
                  </pic:spPr>
                </pic:pic>
              </a:graphicData>
            </a:graphic>
          </wp:inline>
        </w:drawing>
      </w:r>
      <w:r>
        <w:rPr>
          <w:spacing w:val="13"/>
          <w:position w:val="1"/>
          <w:sz w:val="24"/>
        </w:rPr>
      </w:r>
      <w:r>
        <w:rPr>
          <w:spacing w:val="13"/>
          <w:sz w:val="24"/>
        </w:rPr>
        <w:t> </w:t>
      </w:r>
      <w:r>
        <w:rPr>
          <w:sz w:val="24"/>
        </w:rPr>
        <w:t>laquelle figure le signe en haut, adressée à son fournisseur ayant une adresse en Italie, datée du 4 novembre 2020. La commande mentionne des produits indiqués comme, par exemple, «WG1 suede black» et «WG2 suede nature», qui sont expliqués dans la</w:t>
      </w:r>
      <w:r>
        <w:rPr>
          <w:spacing w:val="-1"/>
          <w:sz w:val="24"/>
        </w:rPr>
        <w:t> </w:t>
      </w:r>
      <w:r>
        <w:rPr>
          <w:sz w:val="24"/>
        </w:rPr>
        <w:t>déclaration comme étant des chaussures «WONDERGIRL». Le document contient la mention «Ordre for new brand WONDERGIRL» et s’élève</w:t>
      </w:r>
      <w:r>
        <w:rPr>
          <w:spacing w:val="40"/>
          <w:sz w:val="24"/>
        </w:rPr>
        <w:t> </w:t>
      </w:r>
      <w:r>
        <w:rPr>
          <w:sz w:val="24"/>
        </w:rPr>
        <w:t>à 93 600 EUR.</w:t>
      </w:r>
    </w:p>
    <w:p>
      <w:pPr>
        <w:pStyle w:val="ListParagraph"/>
        <w:numPr>
          <w:ilvl w:val="1"/>
          <w:numId w:val="1"/>
        </w:numPr>
        <w:tabs>
          <w:tab w:pos="1296" w:val="left" w:leader="none"/>
          <w:tab w:pos="1298" w:val="left" w:leader="none"/>
        </w:tabs>
        <w:spacing w:line="240" w:lineRule="auto" w:before="238" w:after="0"/>
        <w:ind w:left="1298" w:right="164" w:hanging="567"/>
        <w:jc w:val="both"/>
        <w:rPr>
          <w:sz w:val="24"/>
        </w:rPr>
      </w:pPr>
      <w:r>
        <w:rPr>
          <w:sz w:val="24"/>
          <w:u w:val="single"/>
        </w:rPr>
        <w:t>Annexe 2</w:t>
      </w:r>
      <w:r>
        <w:rPr>
          <w:sz w:val="24"/>
        </w:rPr>
        <w:t>: un ensemble de 20 factures émises par la titulaire de la marque de l’Union européenne, sur lesquelles figure le signe </w:t>
      </w:r>
      <w:r>
        <w:rPr>
          <w:spacing w:val="-17"/>
          <w:position w:val="1"/>
          <w:sz w:val="24"/>
        </w:rPr>
        <w:drawing>
          <wp:inline distT="0" distB="0" distL="0" distR="0">
            <wp:extent cx="1173480" cy="396849"/>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173480" cy="396849"/>
                    </a:xfrm>
                    <a:prstGeom prst="rect">
                      <a:avLst/>
                    </a:prstGeom>
                  </pic:spPr>
                </pic:pic>
              </a:graphicData>
            </a:graphic>
          </wp:inline>
        </w:drawing>
      </w:r>
      <w:r>
        <w:rPr>
          <w:spacing w:val="-17"/>
          <w:position w:val="1"/>
          <w:sz w:val="24"/>
        </w:rPr>
      </w:r>
      <w:r>
        <w:rPr>
          <w:spacing w:val="40"/>
          <w:sz w:val="24"/>
        </w:rPr>
        <w:t> </w:t>
      </w:r>
      <w:r>
        <w:rPr>
          <w:sz w:val="24"/>
        </w:rPr>
        <w:t>en </w:t>
      </w:r>
      <w:r>
        <w:rPr>
          <w:sz w:val="24"/>
        </w:rPr>
        <w:t>haut, pour des produits expédiés à des clients en Allemagne ou reflétant des ventes individuelles</w:t>
      </w:r>
      <w:r>
        <w:rPr>
          <w:spacing w:val="40"/>
          <w:sz w:val="24"/>
        </w:rPr>
        <w:t> </w:t>
      </w:r>
      <w:r>
        <w:rPr>
          <w:sz w:val="24"/>
        </w:rPr>
        <w:t>réalisées</w:t>
      </w:r>
      <w:r>
        <w:rPr>
          <w:spacing w:val="62"/>
          <w:sz w:val="24"/>
        </w:rPr>
        <w:t> </w:t>
      </w:r>
      <w:r>
        <w:rPr>
          <w:sz w:val="24"/>
        </w:rPr>
        <w:t>dans</w:t>
      </w:r>
      <w:r>
        <w:rPr>
          <w:spacing w:val="62"/>
          <w:sz w:val="24"/>
        </w:rPr>
        <w:t> </w:t>
      </w:r>
      <w:r>
        <w:rPr>
          <w:sz w:val="24"/>
        </w:rPr>
        <w:t>des</w:t>
      </w:r>
      <w:r>
        <w:rPr>
          <w:spacing w:val="62"/>
          <w:sz w:val="24"/>
        </w:rPr>
        <w:t> </w:t>
      </w:r>
      <w:r>
        <w:rPr>
          <w:sz w:val="24"/>
        </w:rPr>
        <w:t>magasins</w:t>
      </w:r>
      <w:r>
        <w:rPr>
          <w:spacing w:val="62"/>
          <w:sz w:val="24"/>
        </w:rPr>
        <w:t> </w:t>
      </w:r>
      <w:r>
        <w:rPr>
          <w:sz w:val="24"/>
        </w:rPr>
        <w:t>en</w:t>
      </w:r>
      <w:r>
        <w:rPr>
          <w:spacing w:val="40"/>
          <w:sz w:val="24"/>
        </w:rPr>
        <w:t> </w:t>
      </w:r>
      <w:r>
        <w:rPr>
          <w:sz w:val="24"/>
        </w:rPr>
        <w:t>Allemagne</w:t>
      </w:r>
      <w:r>
        <w:rPr>
          <w:spacing w:val="40"/>
          <w:sz w:val="24"/>
        </w:rPr>
        <w:t> </w:t>
      </w:r>
      <w:r>
        <w:rPr>
          <w:sz w:val="24"/>
        </w:rPr>
        <w:t>(Copenhagen</w:t>
      </w:r>
      <w:r>
        <w:rPr>
          <w:spacing w:val="40"/>
          <w:sz w:val="24"/>
        </w:rPr>
        <w:t> </w:t>
      </w:r>
      <w:r>
        <w:rPr>
          <w:sz w:val="24"/>
        </w:rPr>
        <w:t>Outlet</w:t>
      </w:r>
    </w:p>
    <w:p>
      <w:pPr>
        <w:pStyle w:val="BodyText"/>
        <w:rPr>
          <w:sz w:val="18"/>
        </w:rPr>
      </w:pPr>
    </w:p>
    <w:p>
      <w:pPr>
        <w:pStyle w:val="BodyText"/>
        <w:spacing w:before="10"/>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BodyText"/>
        <w:spacing w:before="204"/>
        <w:ind w:left="1298" w:right="166"/>
        <w:jc w:val="both"/>
      </w:pPr>
      <w:r>
        <w:rPr/>
        <mc:AlternateContent>
          <mc:Choice Requires="wps">
            <w:drawing>
              <wp:anchor distT="0" distB="0" distL="0" distR="0" allowOverlap="1" layoutInCell="1" locked="0" behindDoc="0" simplePos="0" relativeHeight="15732224">
                <wp:simplePos x="0" y="0"/>
                <wp:positionH relativeFrom="page">
                  <wp:posOffset>270575</wp:posOffset>
                </wp:positionH>
                <wp:positionV relativeFrom="page">
                  <wp:posOffset>1114363</wp:posOffset>
                </wp:positionV>
                <wp:extent cx="146050" cy="92100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2224" type="#_x0000_t202" id="docshape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t>Wertheim,</w:t>
      </w:r>
      <w:r>
        <w:rPr>
          <w:spacing w:val="-5"/>
        </w:rPr>
        <w:t> </w:t>
      </w:r>
      <w:r>
        <w:rPr/>
        <w:t>Copenhagen</w:t>
      </w:r>
      <w:r>
        <w:rPr>
          <w:spacing w:val="-2"/>
        </w:rPr>
        <w:t> </w:t>
      </w:r>
      <w:r>
        <w:rPr/>
        <w:t>Outlet</w:t>
      </w:r>
      <w:r>
        <w:rPr>
          <w:spacing w:val="-5"/>
        </w:rPr>
        <w:t> </w:t>
      </w:r>
      <w:r>
        <w:rPr/>
        <w:t>Ochtrup,</w:t>
      </w:r>
      <w:r>
        <w:rPr>
          <w:spacing w:val="-4"/>
        </w:rPr>
        <w:t> </w:t>
      </w:r>
      <w:r>
        <w:rPr/>
        <w:t>Copenhagen</w:t>
      </w:r>
      <w:r>
        <w:rPr>
          <w:spacing w:val="-4"/>
        </w:rPr>
        <w:t> </w:t>
      </w:r>
      <w:r>
        <w:rPr/>
        <w:t>Outlet</w:t>
      </w:r>
      <w:r>
        <w:rPr>
          <w:spacing w:val="-2"/>
        </w:rPr>
        <w:t> </w:t>
      </w:r>
      <w:r>
        <w:rPr/>
        <w:t>Ingolstadt),</w:t>
      </w:r>
      <w:r>
        <w:rPr>
          <w:spacing w:val="-5"/>
        </w:rPr>
        <w:t> </w:t>
      </w:r>
      <w:r>
        <w:rPr/>
        <w:t>datées</w:t>
      </w:r>
      <w:r>
        <w:rPr>
          <w:spacing w:val="-5"/>
        </w:rPr>
        <w:t> </w:t>
      </w:r>
      <w:r>
        <w:rPr/>
        <w:t>du 1</w:t>
      </w:r>
      <w:r>
        <w:rPr>
          <w:spacing w:val="21"/>
        </w:rPr>
        <w:t> </w:t>
      </w:r>
      <w:r>
        <w:rPr/>
        <w:t>mars</w:t>
      </w:r>
      <w:r>
        <w:rPr>
          <w:spacing w:val="23"/>
        </w:rPr>
        <w:t> </w:t>
      </w:r>
      <w:r>
        <w:rPr/>
        <w:t>2021</w:t>
      </w:r>
      <w:r>
        <w:rPr>
          <w:spacing w:val="22"/>
        </w:rPr>
        <w:t> </w:t>
      </w:r>
      <w:r>
        <w:rPr/>
        <w:t>au</w:t>
      </w:r>
      <w:r>
        <w:rPr>
          <w:spacing w:val="22"/>
        </w:rPr>
        <w:t> </w:t>
      </w:r>
      <w:r>
        <w:rPr/>
        <w:t>18</w:t>
      </w:r>
      <w:r>
        <w:rPr>
          <w:spacing w:val="22"/>
        </w:rPr>
        <w:t> </w:t>
      </w:r>
      <w:r>
        <w:rPr/>
        <w:t>février</w:t>
      </w:r>
      <w:r>
        <w:rPr>
          <w:spacing w:val="22"/>
        </w:rPr>
        <w:t> </w:t>
      </w:r>
      <w:r>
        <w:rPr/>
        <w:t>2023.</w:t>
      </w:r>
      <w:r>
        <w:rPr>
          <w:spacing w:val="25"/>
        </w:rPr>
        <w:t> </w:t>
      </w:r>
      <w:r>
        <w:rPr/>
        <w:t>Les</w:t>
      </w:r>
      <w:r>
        <w:rPr>
          <w:spacing w:val="23"/>
        </w:rPr>
        <w:t> </w:t>
      </w:r>
      <w:r>
        <w:rPr/>
        <w:t>factures</w:t>
      </w:r>
      <w:r>
        <w:rPr>
          <w:spacing w:val="23"/>
        </w:rPr>
        <w:t> </w:t>
      </w:r>
      <w:r>
        <w:rPr/>
        <w:t>mentionnent</w:t>
      </w:r>
      <w:r>
        <w:rPr>
          <w:spacing w:val="23"/>
        </w:rPr>
        <w:t> </w:t>
      </w:r>
      <w:r>
        <w:rPr/>
        <w:t>des</w:t>
      </w:r>
      <w:r>
        <w:rPr>
          <w:spacing w:val="23"/>
        </w:rPr>
        <w:t> </w:t>
      </w:r>
      <w:r>
        <w:rPr/>
        <w:t>produits</w:t>
      </w:r>
      <w:r>
        <w:rPr>
          <w:spacing w:val="23"/>
        </w:rPr>
        <w:t> </w:t>
      </w:r>
      <w:r>
        <w:rPr/>
        <w:t>tels</w:t>
      </w:r>
      <w:r>
        <w:rPr>
          <w:spacing w:val="23"/>
        </w:rPr>
        <w:t> </w:t>
      </w:r>
      <w:r>
        <w:rPr>
          <w:spacing w:val="-5"/>
        </w:rPr>
        <w:t>que</w:t>
      </w:r>
    </w:p>
    <w:p>
      <w:pPr>
        <w:pStyle w:val="BodyText"/>
        <w:ind w:left="1298" w:right="161"/>
        <w:jc w:val="both"/>
      </w:pPr>
      <w:r>
        <w:rPr/>
        <w:t>«WG2 suede graphit» et «WG1 nappa black», entre autres, suivies d’indications de tailles de chaussures. Chaque facture indique entre un et 20 articles de ces produits, dont le prix individuel varie entre 95,90</w:t>
      </w:r>
      <w:r>
        <w:rPr>
          <w:spacing w:val="-1"/>
        </w:rPr>
        <w:t> </w:t>
      </w:r>
      <w:r>
        <w:rPr/>
        <w:t>EUR et 229</w:t>
      </w:r>
      <w:r>
        <w:rPr>
          <w:spacing w:val="-1"/>
        </w:rPr>
        <w:t> </w:t>
      </w:r>
      <w:r>
        <w:rPr/>
        <w:t>EUR, entraînant</w:t>
      </w:r>
      <w:r>
        <w:rPr>
          <w:spacing w:val="40"/>
        </w:rPr>
        <w:t> </w:t>
      </w:r>
      <w:r>
        <w:rPr/>
        <w:t>des ventes totales de quelque 40 paires de chaussures pour près de 5 500 EUR.</w:t>
      </w:r>
    </w:p>
    <w:p>
      <w:pPr>
        <w:pStyle w:val="ListParagraph"/>
        <w:numPr>
          <w:ilvl w:val="1"/>
          <w:numId w:val="1"/>
        </w:numPr>
        <w:tabs>
          <w:tab w:pos="1296" w:val="left" w:leader="none"/>
          <w:tab w:pos="1298" w:val="left" w:leader="none"/>
        </w:tabs>
        <w:spacing w:line="240" w:lineRule="auto" w:before="240" w:after="0"/>
        <w:ind w:left="1298" w:right="165" w:hanging="567"/>
        <w:jc w:val="both"/>
        <w:rPr>
          <w:sz w:val="24"/>
        </w:rPr>
      </w:pPr>
      <w:r>
        <w:rPr>
          <w:sz w:val="24"/>
          <w:u w:val="single"/>
        </w:rPr>
        <w:t>Annexe 3</w:t>
      </w:r>
      <w:r>
        <w:rPr>
          <w:sz w:val="24"/>
        </w:rPr>
        <w:t>: captures d’écran du site internet de la titulaire de la marque de l’Union européenne dans lesquelles figure le signe </w:t>
      </w:r>
      <w:r>
        <w:rPr>
          <w:spacing w:val="13"/>
          <w:sz w:val="24"/>
        </w:rPr>
        <w:drawing>
          <wp:inline distT="0" distB="0" distL="0" distR="0">
            <wp:extent cx="1173479" cy="396849"/>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1173479" cy="396849"/>
                    </a:xfrm>
                    <a:prstGeom prst="rect">
                      <a:avLst/>
                    </a:prstGeom>
                  </pic:spPr>
                </pic:pic>
              </a:graphicData>
            </a:graphic>
          </wp:inline>
        </w:drawing>
      </w:r>
      <w:r>
        <w:rPr>
          <w:spacing w:val="13"/>
          <w:sz w:val="24"/>
        </w:rPr>
      </w:r>
      <w:r>
        <w:rPr>
          <w:spacing w:val="9"/>
          <w:sz w:val="24"/>
        </w:rPr>
        <w:t> </w:t>
      </w:r>
      <w:r>
        <w:rPr>
          <w:sz w:val="24"/>
        </w:rPr>
        <w:t>en haut des pages, montrant des chaussures indiquées comme «WONDERGIRL» disponibles à l’achat en ligne, comme dans l’exemple suivant:</w:t>
      </w:r>
    </w:p>
    <w:p>
      <w:pPr>
        <w:pStyle w:val="BodyText"/>
        <w:rPr>
          <w:sz w:val="20"/>
        </w:rPr>
      </w:pPr>
    </w:p>
    <w:p>
      <w:pPr>
        <w:pStyle w:val="BodyText"/>
        <w:rPr>
          <w:sz w:val="20"/>
        </w:rPr>
      </w:pPr>
    </w:p>
    <w:p>
      <w:pPr>
        <w:pStyle w:val="BodyText"/>
        <w:spacing w:before="43"/>
        <w:rPr>
          <w:sz w:val="20"/>
        </w:rPr>
      </w:pPr>
      <w:r>
        <w:rPr>
          <w:sz w:val="20"/>
        </w:rPr>
        <w:drawing>
          <wp:anchor distT="0" distB="0" distL="0" distR="0" allowOverlap="1" layoutInCell="1" locked="0" behindDoc="1" simplePos="0" relativeHeight="487590400">
            <wp:simplePos x="0" y="0"/>
            <wp:positionH relativeFrom="page">
              <wp:posOffset>2045970</wp:posOffset>
            </wp:positionH>
            <wp:positionV relativeFrom="paragraph">
              <wp:posOffset>188731</wp:posOffset>
            </wp:positionV>
            <wp:extent cx="3828470" cy="2519172"/>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3828470" cy="2519172"/>
                    </a:xfrm>
                    <a:prstGeom prst="rect">
                      <a:avLst/>
                    </a:prstGeom>
                  </pic:spPr>
                </pic:pic>
              </a:graphicData>
            </a:graphic>
          </wp:anchor>
        </w:drawing>
      </w:r>
    </w:p>
    <w:p>
      <w:pPr>
        <w:pStyle w:val="BodyText"/>
        <w:spacing w:before="241"/>
      </w:pPr>
    </w:p>
    <w:p>
      <w:pPr>
        <w:pStyle w:val="ListParagraph"/>
        <w:numPr>
          <w:ilvl w:val="1"/>
          <w:numId w:val="1"/>
        </w:numPr>
        <w:tabs>
          <w:tab w:pos="1298" w:val="left" w:leader="none"/>
          <w:tab w:pos="2276" w:val="left" w:leader="none"/>
          <w:tab w:pos="2697" w:val="left" w:leader="none"/>
          <w:tab w:pos="4290" w:val="left" w:leader="none"/>
          <w:tab w:pos="4748" w:val="left" w:leader="none"/>
          <w:tab w:pos="5556" w:val="left" w:leader="none"/>
          <w:tab w:pos="5894" w:val="left" w:leader="none"/>
          <w:tab w:pos="7166" w:val="left" w:leader="none"/>
          <w:tab w:pos="8080" w:val="left" w:leader="none"/>
        </w:tabs>
        <w:spacing w:line="294" w:lineRule="exact" w:before="1" w:after="0"/>
        <w:ind w:left="1298" w:right="0" w:hanging="567"/>
        <w:jc w:val="left"/>
        <w:rPr>
          <w:sz w:val="24"/>
        </w:rPr>
      </w:pPr>
      <w:r>
        <w:rPr>
          <w:spacing w:val="-2"/>
          <w:sz w:val="24"/>
          <w:u w:val="single"/>
        </w:rPr>
        <w:t>Annexe</w:t>
      </w:r>
      <w:r>
        <w:rPr>
          <w:sz w:val="24"/>
          <w:u w:val="single"/>
        </w:rPr>
        <w:tab/>
      </w:r>
      <w:r>
        <w:rPr>
          <w:spacing w:val="-5"/>
          <w:sz w:val="24"/>
          <w:u w:val="single"/>
        </w:rPr>
        <w:t>4</w:t>
      </w:r>
      <w:r>
        <w:rPr>
          <w:spacing w:val="-5"/>
          <w:sz w:val="24"/>
        </w:rPr>
        <w:t>:</w:t>
      </w:r>
      <w:r>
        <w:rPr>
          <w:sz w:val="24"/>
        </w:rPr>
        <w:tab/>
      </w:r>
      <w:r>
        <w:rPr>
          <w:spacing w:val="-2"/>
          <w:sz w:val="24"/>
        </w:rPr>
        <w:t>photographies</w:t>
      </w:r>
      <w:r>
        <w:rPr>
          <w:sz w:val="24"/>
        </w:rPr>
        <w:tab/>
      </w:r>
      <w:r>
        <w:rPr>
          <w:spacing w:val="-5"/>
          <w:sz w:val="24"/>
        </w:rPr>
        <w:t>de</w:t>
      </w:r>
      <w:r>
        <w:rPr>
          <w:sz w:val="24"/>
        </w:rPr>
        <w:tab/>
      </w:r>
      <w:r>
        <w:rPr>
          <w:spacing w:val="-2"/>
          <w:sz w:val="24"/>
        </w:rPr>
        <w:t>boîtes</w:t>
      </w:r>
      <w:r>
        <w:rPr>
          <w:sz w:val="24"/>
        </w:rPr>
        <w:tab/>
      </w:r>
      <w:r>
        <w:rPr>
          <w:spacing w:val="-10"/>
          <w:sz w:val="24"/>
        </w:rPr>
        <w:t>à</w:t>
      </w:r>
      <w:r>
        <w:rPr>
          <w:sz w:val="24"/>
        </w:rPr>
        <w:tab/>
      </w:r>
      <w:r>
        <w:rPr>
          <w:spacing w:val="-2"/>
          <w:sz w:val="24"/>
        </w:rPr>
        <w:t>chaussures</w:t>
      </w:r>
      <w:r>
        <w:rPr>
          <w:sz w:val="24"/>
        </w:rPr>
        <w:tab/>
      </w:r>
      <w:r>
        <w:rPr>
          <w:spacing w:val="-2"/>
          <w:sz w:val="24"/>
        </w:rPr>
        <w:t>portant</w:t>
      </w:r>
      <w:r>
        <w:rPr>
          <w:sz w:val="24"/>
        </w:rPr>
        <w:tab/>
      </w:r>
      <w:r>
        <w:rPr>
          <w:spacing w:val="-2"/>
          <w:sz w:val="24"/>
        </w:rPr>
        <w:t>l’indication</w:t>
      </w:r>
    </w:p>
    <w:p>
      <w:pPr>
        <w:pStyle w:val="BodyText"/>
        <w:spacing w:line="276" w:lineRule="exact"/>
        <w:ind w:left="1298"/>
        <w:jc w:val="both"/>
      </w:pPr>
      <w:r>
        <w:rPr/>
        <w:t>«WONDERGIRL»,</w:t>
      </w:r>
      <w:r>
        <w:rPr>
          <w:spacing w:val="-4"/>
        </w:rPr>
        <w:t> </w:t>
      </w:r>
      <w:r>
        <w:rPr/>
        <w:t>comme</w:t>
      </w:r>
      <w:r>
        <w:rPr>
          <w:spacing w:val="-5"/>
        </w:rPr>
        <w:t> </w:t>
      </w:r>
      <w:r>
        <w:rPr/>
        <w:t>dans</w:t>
      </w:r>
      <w:r>
        <w:rPr>
          <w:spacing w:val="-6"/>
        </w:rPr>
        <w:t> </w:t>
      </w:r>
      <w:r>
        <w:rPr/>
        <w:t>l’exemple</w:t>
      </w:r>
      <w:r>
        <w:rPr>
          <w:spacing w:val="-5"/>
        </w:rPr>
        <w:t> </w:t>
      </w:r>
      <w:r>
        <w:rPr>
          <w:spacing w:val="-2"/>
        </w:rPr>
        <w:t>suivant:</w:t>
      </w:r>
    </w:p>
    <w:p>
      <w:pPr>
        <w:pStyle w:val="BodyText"/>
        <w:spacing w:before="7"/>
        <w:rPr>
          <w:sz w:val="18"/>
        </w:rPr>
      </w:pPr>
      <w:r>
        <w:rPr>
          <w:sz w:val="18"/>
        </w:rPr>
        <w:drawing>
          <wp:anchor distT="0" distB="0" distL="0" distR="0" allowOverlap="1" layoutInCell="1" locked="0" behindDoc="1" simplePos="0" relativeHeight="487590912">
            <wp:simplePos x="0" y="0"/>
            <wp:positionH relativeFrom="page">
              <wp:posOffset>2728976</wp:posOffset>
            </wp:positionH>
            <wp:positionV relativeFrom="paragraph">
              <wp:posOffset>151524</wp:posOffset>
            </wp:positionV>
            <wp:extent cx="2101122" cy="1869948"/>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2101122" cy="1869948"/>
                    </a:xfrm>
                    <a:prstGeom prst="rect">
                      <a:avLst/>
                    </a:prstGeom>
                  </pic:spPr>
                </pic:pic>
              </a:graphicData>
            </a:graphic>
          </wp:anchor>
        </w:drawing>
      </w:r>
    </w:p>
    <w:p>
      <w:pPr>
        <w:pStyle w:val="BodyText"/>
        <w:spacing w:before="244"/>
        <w:ind w:left="1298"/>
        <w:jc w:val="both"/>
      </w:pPr>
      <w:r>
        <w:rPr/>
        <w:t>Des</w:t>
      </w:r>
      <w:r>
        <w:rPr>
          <w:spacing w:val="-1"/>
        </w:rPr>
        <w:t> </w:t>
      </w:r>
      <w:r>
        <w:rPr/>
        <w:t>indications</w:t>
      </w:r>
      <w:r>
        <w:rPr>
          <w:spacing w:val="-1"/>
        </w:rPr>
        <w:t> </w:t>
      </w:r>
      <w:r>
        <w:rPr/>
        <w:t>du</w:t>
      </w:r>
      <w:r>
        <w:rPr>
          <w:spacing w:val="-1"/>
        </w:rPr>
        <w:t> </w:t>
      </w:r>
      <w:r>
        <w:rPr/>
        <w:t>type</w:t>
      </w:r>
      <w:r>
        <w:rPr>
          <w:spacing w:val="-2"/>
        </w:rPr>
        <w:t> </w:t>
      </w:r>
      <w:r>
        <w:rPr/>
        <w:t>suivant</w:t>
      </w:r>
      <w:r>
        <w:rPr>
          <w:spacing w:val="-1"/>
        </w:rPr>
        <w:t> </w:t>
      </w:r>
      <w:r>
        <w:rPr/>
        <w:t>sont</w:t>
      </w:r>
      <w:r>
        <w:rPr>
          <w:spacing w:val="-1"/>
        </w:rPr>
        <w:t> </w:t>
      </w:r>
      <w:r>
        <w:rPr/>
        <w:t>également</w:t>
      </w:r>
      <w:r>
        <w:rPr>
          <w:spacing w:val="-1"/>
        </w:rPr>
        <w:t> </w:t>
      </w:r>
      <w:r>
        <w:rPr/>
        <w:t>visibles</w:t>
      </w:r>
      <w:r>
        <w:rPr>
          <w:spacing w:val="-1"/>
        </w:rPr>
        <w:t> </w:t>
      </w:r>
      <w:r>
        <w:rPr/>
        <w:t>sur</w:t>
      </w:r>
      <w:r>
        <w:rPr>
          <w:spacing w:val="-1"/>
        </w:rPr>
        <w:t> </w:t>
      </w:r>
      <w:r>
        <w:rPr/>
        <w:t>les</w:t>
      </w:r>
      <w:r>
        <w:rPr>
          <w:spacing w:val="-1"/>
        </w:rPr>
        <w:t> </w:t>
      </w:r>
      <w:r>
        <w:rPr>
          <w:spacing w:val="-2"/>
        </w:rPr>
        <w:t>boîtes: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75"/>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spacing w:before="205"/>
        <w:ind w:left="566" w:right="0" w:firstLine="0"/>
        <w:jc w:val="center"/>
        <w:rPr>
          <w:sz w:val="24"/>
        </w:rPr>
      </w:pPr>
      <w:r>
        <w:rPr>
          <w:sz w:val="24"/>
        </w:rPr>
        <mc:AlternateContent>
          <mc:Choice Requires="wps">
            <w:drawing>
              <wp:anchor distT="0" distB="0" distL="0" distR="0" allowOverlap="1" layoutInCell="1" locked="0" behindDoc="0" simplePos="0" relativeHeight="15733248">
                <wp:simplePos x="0" y="0"/>
                <wp:positionH relativeFrom="page">
                  <wp:posOffset>270575</wp:posOffset>
                </wp:positionH>
                <wp:positionV relativeFrom="page">
                  <wp:posOffset>1114363</wp:posOffset>
                </wp:positionV>
                <wp:extent cx="146050" cy="92100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3248" type="#_x0000_t202" id="docshape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drawing>
          <wp:inline distT="0" distB="0" distL="0" distR="0">
            <wp:extent cx="3539997" cy="71945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3539997" cy="719454"/>
                    </a:xfrm>
                    <a:prstGeom prst="rect">
                      <a:avLst/>
                    </a:prstGeom>
                  </pic:spPr>
                </pic:pic>
              </a:graphicData>
            </a:graphic>
          </wp:inline>
        </w:drawing>
      </w:r>
      <w:r>
        <w:rPr/>
      </w:r>
      <w:r>
        <w:rPr>
          <w:spacing w:val="-10"/>
          <w:sz w:val="24"/>
        </w:rPr>
        <w:t>.</w:t>
      </w:r>
    </w:p>
    <w:p>
      <w:pPr>
        <w:pStyle w:val="ListParagraph"/>
        <w:numPr>
          <w:ilvl w:val="1"/>
          <w:numId w:val="1"/>
        </w:numPr>
        <w:tabs>
          <w:tab w:pos="1296" w:val="left" w:leader="none"/>
          <w:tab w:pos="1298" w:val="left" w:leader="none"/>
        </w:tabs>
        <w:spacing w:line="240" w:lineRule="auto" w:before="239" w:after="0"/>
        <w:ind w:left="1298" w:right="161" w:hanging="567"/>
        <w:jc w:val="both"/>
        <w:rPr>
          <w:sz w:val="24"/>
        </w:rPr>
      </w:pPr>
      <w:r>
        <w:rPr>
          <w:sz w:val="24"/>
          <w:u w:val="single"/>
        </w:rPr>
        <w:t>Annexe 5</w:t>
      </w:r>
      <w:r>
        <w:rPr>
          <w:sz w:val="24"/>
        </w:rPr>
        <w:t>: photographies de chaussures avec l’indication «WONDERGIRL» visible sur les articles du produit, comme dans les exemples suivants:</w:t>
      </w:r>
    </w:p>
    <w:p>
      <w:pPr>
        <w:pStyle w:val="BodyText"/>
        <w:spacing w:before="8"/>
        <w:rPr>
          <w:sz w:val="18"/>
        </w:rPr>
      </w:pPr>
      <w:r>
        <w:rPr>
          <w:sz w:val="18"/>
        </w:rPr>
        <mc:AlternateContent>
          <mc:Choice Requires="wps">
            <w:drawing>
              <wp:anchor distT="0" distB="0" distL="0" distR="0" allowOverlap="1" layoutInCell="1" locked="0" behindDoc="1" simplePos="0" relativeHeight="487591936">
                <wp:simplePos x="0" y="0"/>
                <wp:positionH relativeFrom="page">
                  <wp:posOffset>2013966</wp:posOffset>
                </wp:positionH>
                <wp:positionV relativeFrom="paragraph">
                  <wp:posOffset>152382</wp:posOffset>
                </wp:positionV>
                <wp:extent cx="3892550" cy="215963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3892550" cy="2159635"/>
                          <a:chExt cx="3892550" cy="2159635"/>
                        </a:xfrm>
                      </wpg:grpSpPr>
                      <pic:pic>
                        <pic:nvPicPr>
                          <pic:cNvPr id="17" name="Image 17"/>
                          <pic:cNvPicPr/>
                        </pic:nvPicPr>
                        <pic:blipFill>
                          <a:blip r:embed="rId11" cstate="print"/>
                          <a:stretch>
                            <a:fillRect/>
                          </a:stretch>
                        </pic:blipFill>
                        <pic:spPr>
                          <a:xfrm>
                            <a:off x="0" y="0"/>
                            <a:ext cx="1713103" cy="2159635"/>
                          </a:xfrm>
                          <a:prstGeom prst="rect">
                            <a:avLst/>
                          </a:prstGeom>
                        </pic:spPr>
                      </pic:pic>
                      <pic:pic>
                        <pic:nvPicPr>
                          <pic:cNvPr id="18" name="Image 18"/>
                          <pic:cNvPicPr/>
                        </pic:nvPicPr>
                        <pic:blipFill>
                          <a:blip r:embed="rId12" cstate="print"/>
                          <a:stretch>
                            <a:fillRect/>
                          </a:stretch>
                        </pic:blipFill>
                        <pic:spPr>
                          <a:xfrm>
                            <a:off x="1713229" y="720090"/>
                            <a:ext cx="2179320" cy="1439544"/>
                          </a:xfrm>
                          <a:prstGeom prst="rect">
                            <a:avLst/>
                          </a:prstGeom>
                        </pic:spPr>
                      </pic:pic>
                    </wpg:wgp>
                  </a:graphicData>
                </a:graphic>
              </wp:anchor>
            </w:drawing>
          </mc:Choice>
          <mc:Fallback>
            <w:pict>
              <v:group style="position:absolute;margin-left:158.580002pt;margin-top:11.998593pt;width:306.5pt;height:170.05pt;mso-position-horizontal-relative:page;mso-position-vertical-relative:paragraph;z-index:-15724544;mso-wrap-distance-left:0;mso-wrap-distance-right:0" id="docshapegroup9" coordorigin="3172,240" coordsize="6130,3401">
                <v:shape style="position:absolute;left:3171;top:239;width:2698;height:3401" type="#_x0000_t75" id="docshape10" stroked="false">
                  <v:imagedata r:id="rId11" o:title=""/>
                </v:shape>
                <v:shape style="position:absolute;left:5869;top:1373;width:3432;height:2267" type="#_x0000_t75" id="docshape11" stroked="false">
                  <v:imagedata r:id="rId12" o:title=""/>
                </v:shape>
                <w10:wrap type="topAndBottom"/>
              </v:group>
            </w:pict>
          </mc:Fallback>
        </mc:AlternateContent>
      </w:r>
    </w:p>
    <w:p>
      <w:pPr>
        <w:pStyle w:val="ListParagraph"/>
        <w:numPr>
          <w:ilvl w:val="1"/>
          <w:numId w:val="1"/>
        </w:numPr>
        <w:tabs>
          <w:tab w:pos="1296" w:val="left" w:leader="none"/>
          <w:tab w:pos="1298" w:val="left" w:leader="none"/>
        </w:tabs>
        <w:spacing w:line="240" w:lineRule="auto" w:before="240" w:after="0"/>
        <w:ind w:left="1298" w:right="160" w:hanging="567"/>
        <w:jc w:val="both"/>
        <w:rPr>
          <w:sz w:val="24"/>
        </w:rPr>
      </w:pPr>
      <w:r>
        <w:rPr>
          <w:b/>
          <w:sz w:val="24"/>
          <w:u w:val="single"/>
        </w:rPr>
        <w:t>Pièce 2</w:t>
      </w:r>
      <w:r>
        <w:rPr>
          <w:b/>
          <w:sz w:val="24"/>
        </w:rPr>
        <w:t>: </w:t>
      </w:r>
      <w:r>
        <w:rPr>
          <w:sz w:val="24"/>
        </w:rPr>
        <w:t>un ensemble de 19 factures émises par la titulaire de la marque de l’Union européenne, sur lesquelles figure le signe </w:t>
      </w:r>
      <w:r>
        <w:rPr>
          <w:spacing w:val="-15"/>
          <w:sz w:val="24"/>
        </w:rPr>
        <w:drawing>
          <wp:inline distT="0" distB="0" distL="0" distR="0">
            <wp:extent cx="1173480" cy="396849"/>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1173480" cy="396849"/>
                    </a:xfrm>
                    <a:prstGeom prst="rect">
                      <a:avLst/>
                    </a:prstGeom>
                  </pic:spPr>
                </pic:pic>
              </a:graphicData>
            </a:graphic>
          </wp:inline>
        </w:drawing>
      </w:r>
      <w:r>
        <w:rPr>
          <w:spacing w:val="-15"/>
          <w:sz w:val="24"/>
        </w:rPr>
      </w:r>
      <w:r>
        <w:rPr>
          <w:sz w:val="24"/>
        </w:rPr>
        <w:t> en </w:t>
      </w:r>
      <w:r>
        <w:rPr>
          <w:sz w:val="24"/>
        </w:rPr>
        <w:t>haut. Toutefois, six des factures (une de 2021, une de 2022 et quatre de 2023) ont été reproduites étant donné qu’elles avaient déjà été présentées dans le cadre de l’annexe 2. Les 13 factures restantes concernent des produits expédiés à des clients en Allemagne ou reflètent des ventes individuelles réalisées dans des magasins (Copenhagen Outlet Wertheim, Copenhagen Outlet Ochtrup et Copenhagen Outlet Ingolstadt) et sont datées entre le 26 février 2021 et le 8 janvier 2023. Ces factures mentionnent des produits tels que «WG1 nappa black» et «WG2 suede nature», entre autres, suivies d’indications de pointures de chaussures et du nombre d’articles. Certaines factures font état de ventes d’un</w:t>
      </w:r>
      <w:r>
        <w:rPr>
          <w:spacing w:val="40"/>
          <w:sz w:val="24"/>
        </w:rPr>
        <w:t> </w:t>
      </w:r>
      <w:r>
        <w:rPr>
          <w:sz w:val="24"/>
        </w:rPr>
        <w:t>seul article de produits «WG», tandis que d’autres documents mentionnent des quantités</w:t>
      </w:r>
      <w:r>
        <w:rPr>
          <w:spacing w:val="25"/>
          <w:sz w:val="24"/>
        </w:rPr>
        <w:t> </w:t>
      </w:r>
      <w:r>
        <w:rPr>
          <w:sz w:val="24"/>
        </w:rPr>
        <w:t>allant</w:t>
      </w:r>
      <w:r>
        <w:rPr>
          <w:spacing w:val="26"/>
          <w:sz w:val="24"/>
        </w:rPr>
        <w:t> </w:t>
      </w:r>
      <w:r>
        <w:rPr>
          <w:sz w:val="24"/>
        </w:rPr>
        <w:t>de</w:t>
      </w:r>
      <w:r>
        <w:rPr>
          <w:spacing w:val="24"/>
          <w:sz w:val="24"/>
        </w:rPr>
        <w:t> </w:t>
      </w:r>
      <w:r>
        <w:rPr>
          <w:sz w:val="24"/>
        </w:rPr>
        <w:t>60</w:t>
      </w:r>
      <w:r>
        <w:rPr>
          <w:spacing w:val="25"/>
          <w:sz w:val="24"/>
        </w:rPr>
        <w:t> </w:t>
      </w:r>
      <w:r>
        <w:rPr>
          <w:sz w:val="24"/>
        </w:rPr>
        <w:t>à 140</w:t>
      </w:r>
      <w:r>
        <w:rPr>
          <w:spacing w:val="25"/>
          <w:sz w:val="24"/>
        </w:rPr>
        <w:t> </w:t>
      </w:r>
      <w:r>
        <w:rPr>
          <w:sz w:val="24"/>
        </w:rPr>
        <w:t>articles</w:t>
      </w:r>
      <w:r>
        <w:rPr>
          <w:spacing w:val="25"/>
          <w:sz w:val="24"/>
        </w:rPr>
        <w:t> </w:t>
      </w:r>
      <w:r>
        <w:rPr>
          <w:sz w:val="24"/>
        </w:rPr>
        <w:t>par</w:t>
      </w:r>
      <w:r>
        <w:rPr>
          <w:spacing w:val="24"/>
          <w:sz w:val="24"/>
        </w:rPr>
        <w:t> </w:t>
      </w:r>
      <w:r>
        <w:rPr>
          <w:sz w:val="24"/>
        </w:rPr>
        <w:t>facture.</w:t>
      </w:r>
      <w:r>
        <w:rPr>
          <w:spacing w:val="25"/>
          <w:sz w:val="24"/>
        </w:rPr>
        <w:t> </w:t>
      </w:r>
      <w:r>
        <w:rPr>
          <w:sz w:val="24"/>
        </w:rPr>
        <w:t>Les</w:t>
      </w:r>
      <w:r>
        <w:rPr>
          <w:spacing w:val="25"/>
          <w:sz w:val="24"/>
        </w:rPr>
        <w:t> </w:t>
      </w:r>
      <w:r>
        <w:rPr>
          <w:sz w:val="24"/>
        </w:rPr>
        <w:t>prix</w:t>
      </w:r>
      <w:r>
        <w:rPr>
          <w:spacing w:val="27"/>
          <w:sz w:val="24"/>
        </w:rPr>
        <w:t> </w:t>
      </w:r>
      <w:r>
        <w:rPr>
          <w:sz w:val="24"/>
        </w:rPr>
        <w:t>individuels</w:t>
      </w:r>
      <w:r>
        <w:rPr>
          <w:spacing w:val="25"/>
          <w:sz w:val="24"/>
        </w:rPr>
        <w:t> </w:t>
      </w:r>
      <w:r>
        <w:rPr>
          <w:sz w:val="24"/>
        </w:rPr>
        <w:t>varient</w:t>
      </w:r>
      <w:r>
        <w:rPr>
          <w:spacing w:val="26"/>
          <w:sz w:val="24"/>
        </w:rPr>
        <w:t> </w:t>
      </w:r>
      <w:r>
        <w:rPr>
          <w:sz w:val="24"/>
        </w:rPr>
        <w:t>de 88</w:t>
      </w:r>
      <w:r>
        <w:rPr>
          <w:spacing w:val="-2"/>
          <w:sz w:val="24"/>
        </w:rPr>
        <w:t> </w:t>
      </w:r>
      <w:r>
        <w:rPr>
          <w:sz w:val="24"/>
        </w:rPr>
        <w:t>EUR à 229</w:t>
      </w:r>
      <w:r>
        <w:rPr>
          <w:spacing w:val="-2"/>
          <w:sz w:val="24"/>
        </w:rPr>
        <w:t> </w:t>
      </w:r>
      <w:r>
        <w:rPr>
          <w:sz w:val="24"/>
        </w:rPr>
        <w:t>EUR, ce qui se traduit par des montants totaux variant de plusieurs centaines à plusieurs milliers d’euros (un total de plus de 22 000 EUR pour plus de 200 paires de chaussures).</w:t>
      </w:r>
    </w:p>
    <w:p>
      <w:pPr>
        <w:pStyle w:val="ListParagraph"/>
        <w:numPr>
          <w:ilvl w:val="1"/>
          <w:numId w:val="1"/>
        </w:numPr>
        <w:tabs>
          <w:tab w:pos="1296" w:val="left" w:leader="none"/>
          <w:tab w:pos="1298" w:val="left" w:leader="none"/>
        </w:tabs>
        <w:spacing w:line="259" w:lineRule="auto" w:before="240" w:after="0"/>
        <w:ind w:left="1298" w:right="165" w:hanging="567"/>
        <w:jc w:val="both"/>
        <w:rPr>
          <w:sz w:val="24"/>
        </w:rPr>
      </w:pPr>
      <w:r>
        <w:rPr>
          <w:b/>
          <w:sz w:val="24"/>
          <w:u w:val="single"/>
        </w:rPr>
        <w:t>Pièces 3 et 4</w:t>
      </w:r>
      <w:r>
        <w:rPr>
          <w:b/>
          <w:sz w:val="24"/>
        </w:rPr>
        <w:t>: </w:t>
      </w:r>
      <w:r>
        <w:rPr>
          <w:sz w:val="24"/>
        </w:rPr>
        <w:t>un bon de livraison et une confirmation de commande, tous deux datés</w:t>
      </w:r>
      <w:r>
        <w:rPr>
          <w:spacing w:val="-3"/>
          <w:sz w:val="24"/>
        </w:rPr>
        <w:t> </w:t>
      </w:r>
      <w:r>
        <w:rPr>
          <w:sz w:val="24"/>
        </w:rPr>
        <w:t>du</w:t>
      </w:r>
      <w:r>
        <w:rPr>
          <w:spacing w:val="-3"/>
          <w:sz w:val="24"/>
        </w:rPr>
        <w:t> </w:t>
      </w:r>
      <w:r>
        <w:rPr>
          <w:sz w:val="24"/>
        </w:rPr>
        <w:t>19</w:t>
      </w:r>
      <w:r>
        <w:rPr>
          <w:spacing w:val="-2"/>
          <w:sz w:val="24"/>
        </w:rPr>
        <w:t> </w:t>
      </w:r>
      <w:r>
        <w:rPr>
          <w:sz w:val="24"/>
        </w:rPr>
        <w:t>février</w:t>
      </w:r>
      <w:r>
        <w:rPr>
          <w:spacing w:val="-2"/>
          <w:sz w:val="24"/>
        </w:rPr>
        <w:t> </w:t>
      </w:r>
      <w:r>
        <w:rPr>
          <w:sz w:val="24"/>
        </w:rPr>
        <w:t>2021,</w:t>
      </w:r>
      <w:r>
        <w:rPr>
          <w:spacing w:val="-1"/>
          <w:sz w:val="24"/>
        </w:rPr>
        <w:t> </w:t>
      </w:r>
      <w:r>
        <w:rPr>
          <w:sz w:val="24"/>
        </w:rPr>
        <w:t>sur</w:t>
      </w:r>
      <w:r>
        <w:rPr>
          <w:spacing w:val="-3"/>
          <w:sz w:val="24"/>
        </w:rPr>
        <w:t> </w:t>
      </w:r>
      <w:r>
        <w:rPr>
          <w:sz w:val="24"/>
        </w:rPr>
        <w:t>lesquels</w:t>
      </w:r>
      <w:r>
        <w:rPr>
          <w:spacing w:val="-3"/>
          <w:sz w:val="24"/>
        </w:rPr>
        <w:t> </w:t>
      </w:r>
      <w:r>
        <w:rPr>
          <w:sz w:val="24"/>
        </w:rPr>
        <w:t>figure</w:t>
      </w:r>
      <w:r>
        <w:rPr>
          <w:spacing w:val="-3"/>
          <w:sz w:val="24"/>
        </w:rPr>
        <w:t> </w:t>
      </w:r>
      <w:r>
        <w:rPr>
          <w:sz w:val="24"/>
        </w:rPr>
        <w:t>le</w:t>
      </w:r>
      <w:r>
        <w:rPr>
          <w:spacing w:val="-3"/>
          <w:sz w:val="24"/>
        </w:rPr>
        <w:t> </w:t>
      </w:r>
      <w:r>
        <w:rPr>
          <w:sz w:val="24"/>
        </w:rPr>
        <w:t>signe</w:t>
      </w:r>
      <w:r>
        <w:rPr>
          <w:spacing w:val="40"/>
          <w:sz w:val="24"/>
        </w:rPr>
        <w:t> </w:t>
      </w:r>
      <w:r>
        <w:rPr>
          <w:spacing w:val="-1"/>
          <w:position w:val="5"/>
          <w:sz w:val="24"/>
        </w:rPr>
        <w:drawing>
          <wp:inline distT="0" distB="0" distL="0" distR="0">
            <wp:extent cx="1202172" cy="145228"/>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3" cstate="print"/>
                    <a:stretch>
                      <a:fillRect/>
                    </a:stretch>
                  </pic:blipFill>
                  <pic:spPr>
                    <a:xfrm>
                      <a:off x="0" y="0"/>
                      <a:ext cx="1202172" cy="145228"/>
                    </a:xfrm>
                    <a:prstGeom prst="rect">
                      <a:avLst/>
                    </a:prstGeom>
                  </pic:spPr>
                </pic:pic>
              </a:graphicData>
            </a:graphic>
          </wp:inline>
        </w:drawing>
      </w:r>
      <w:r>
        <w:rPr>
          <w:spacing w:val="-1"/>
          <w:position w:val="5"/>
          <w:sz w:val="24"/>
        </w:rPr>
      </w:r>
      <w:r>
        <w:rPr>
          <w:spacing w:val="37"/>
          <w:sz w:val="24"/>
        </w:rPr>
        <w:t> </w:t>
      </w:r>
      <w:r>
        <w:rPr>
          <w:sz w:val="24"/>
        </w:rPr>
        <w:t>en</w:t>
      </w:r>
      <w:r>
        <w:rPr>
          <w:spacing w:val="-3"/>
          <w:sz w:val="24"/>
        </w:rPr>
        <w:t> </w:t>
      </w:r>
      <w:r>
        <w:rPr>
          <w:sz w:val="24"/>
        </w:rPr>
        <w:t>haut. Ces</w:t>
      </w:r>
      <w:r>
        <w:rPr>
          <w:spacing w:val="72"/>
          <w:sz w:val="24"/>
        </w:rPr>
        <w:t> </w:t>
      </w:r>
      <w:r>
        <w:rPr>
          <w:sz w:val="24"/>
        </w:rPr>
        <w:t>documents</w:t>
      </w:r>
      <w:r>
        <w:rPr>
          <w:spacing w:val="72"/>
          <w:sz w:val="24"/>
        </w:rPr>
        <w:t> </w:t>
      </w:r>
      <w:r>
        <w:rPr>
          <w:sz w:val="24"/>
        </w:rPr>
        <w:t>ont</w:t>
      </w:r>
      <w:r>
        <w:rPr>
          <w:spacing w:val="72"/>
          <w:sz w:val="24"/>
        </w:rPr>
        <w:t> </w:t>
      </w:r>
      <w:r>
        <w:rPr>
          <w:sz w:val="24"/>
        </w:rPr>
        <w:t>été</w:t>
      </w:r>
      <w:r>
        <w:rPr>
          <w:spacing w:val="73"/>
          <w:sz w:val="24"/>
        </w:rPr>
        <w:t> </w:t>
      </w:r>
      <w:r>
        <w:rPr>
          <w:sz w:val="24"/>
        </w:rPr>
        <w:t>délivrés</w:t>
      </w:r>
      <w:r>
        <w:rPr>
          <w:spacing w:val="72"/>
          <w:sz w:val="24"/>
        </w:rPr>
        <w:t> </w:t>
      </w:r>
      <w:r>
        <w:rPr>
          <w:sz w:val="24"/>
        </w:rPr>
        <w:t>par</w:t>
      </w:r>
      <w:r>
        <w:rPr>
          <w:spacing w:val="71"/>
          <w:sz w:val="24"/>
        </w:rPr>
        <w:t> </w:t>
      </w:r>
      <w:r>
        <w:rPr>
          <w:sz w:val="24"/>
        </w:rPr>
        <w:t>la</w:t>
      </w:r>
      <w:r>
        <w:rPr>
          <w:spacing w:val="71"/>
          <w:sz w:val="24"/>
        </w:rPr>
        <w:t> </w:t>
      </w:r>
      <w:r>
        <w:rPr>
          <w:sz w:val="24"/>
        </w:rPr>
        <w:t>titulaire</w:t>
      </w:r>
      <w:r>
        <w:rPr>
          <w:spacing w:val="71"/>
          <w:sz w:val="24"/>
        </w:rPr>
        <w:t> </w:t>
      </w:r>
      <w:r>
        <w:rPr>
          <w:sz w:val="24"/>
        </w:rPr>
        <w:t>de</w:t>
      </w:r>
      <w:r>
        <w:rPr>
          <w:spacing w:val="71"/>
          <w:sz w:val="24"/>
        </w:rPr>
        <w:t> </w:t>
      </w:r>
      <w:r>
        <w:rPr>
          <w:sz w:val="24"/>
        </w:rPr>
        <w:t>la</w:t>
      </w:r>
      <w:r>
        <w:rPr>
          <w:spacing w:val="71"/>
          <w:sz w:val="24"/>
        </w:rPr>
        <w:t> </w:t>
      </w:r>
      <w:r>
        <w:rPr>
          <w:sz w:val="24"/>
        </w:rPr>
        <w:t>MUE</w:t>
      </w:r>
      <w:r>
        <w:rPr>
          <w:spacing w:val="74"/>
          <w:sz w:val="24"/>
        </w:rPr>
        <w:t> </w:t>
      </w:r>
      <w:r>
        <w:rPr>
          <w:sz w:val="24"/>
        </w:rPr>
        <w:t>à</w:t>
      </w:r>
      <w:r>
        <w:rPr>
          <w:spacing w:val="71"/>
          <w:sz w:val="24"/>
        </w:rPr>
        <w:t> </w:t>
      </w:r>
      <w:r>
        <w:rPr>
          <w:sz w:val="24"/>
        </w:rPr>
        <w:t>un</w:t>
      </w:r>
      <w:r>
        <w:rPr>
          <w:spacing w:val="72"/>
          <w:sz w:val="24"/>
        </w:rPr>
        <w:t> </w:t>
      </w:r>
      <w:r>
        <w:rPr>
          <w:sz w:val="24"/>
        </w:rPr>
        <w:t>client</w:t>
      </w:r>
      <w:r>
        <w:rPr>
          <w:spacing w:val="72"/>
          <w:sz w:val="24"/>
        </w:rPr>
        <w:t> </w:t>
      </w:r>
      <w:r>
        <w:rPr>
          <w:sz w:val="24"/>
        </w:rPr>
        <w:t>en</w:t>
      </w:r>
    </w:p>
    <w:p>
      <w:pPr>
        <w:pStyle w:val="BodyText"/>
        <w:spacing w:line="258" w:lineRule="exact"/>
        <w:ind w:left="1298"/>
        <w:jc w:val="both"/>
      </w:pPr>
      <w:r>
        <w:rPr/>
        <w:t>Allemagne</w:t>
      </w:r>
      <w:r>
        <w:rPr>
          <w:spacing w:val="3"/>
        </w:rPr>
        <w:t> </w:t>
      </w:r>
      <w:r>
        <w:rPr/>
        <w:t>(identifié</w:t>
      </w:r>
      <w:r>
        <w:rPr>
          <w:spacing w:val="5"/>
        </w:rPr>
        <w:t> </w:t>
      </w:r>
      <w:r>
        <w:rPr/>
        <w:t>comme</w:t>
      </w:r>
      <w:r>
        <w:rPr>
          <w:spacing w:val="5"/>
        </w:rPr>
        <w:t> </w:t>
      </w:r>
      <w:r>
        <w:rPr/>
        <w:t>étant</w:t>
      </w:r>
      <w:r>
        <w:rPr>
          <w:spacing w:val="6"/>
        </w:rPr>
        <w:t> </w:t>
      </w:r>
      <w:r>
        <w:rPr/>
        <w:t>son</w:t>
      </w:r>
      <w:r>
        <w:rPr>
          <w:spacing w:val="9"/>
        </w:rPr>
        <w:t> </w:t>
      </w:r>
      <w:r>
        <w:rPr/>
        <w:t>grossiste</w:t>
      </w:r>
      <w:r>
        <w:rPr>
          <w:spacing w:val="7"/>
        </w:rPr>
        <w:t> </w:t>
      </w:r>
      <w:r>
        <w:rPr/>
        <w:t>dans</w:t>
      </w:r>
      <w:r>
        <w:rPr>
          <w:spacing w:val="7"/>
        </w:rPr>
        <w:t> </w:t>
      </w:r>
      <w:r>
        <w:rPr/>
        <w:t>la</w:t>
      </w:r>
      <w:r>
        <w:rPr>
          <w:spacing w:val="6"/>
        </w:rPr>
        <w:t> </w:t>
      </w:r>
      <w:r>
        <w:rPr/>
        <w:t>déclaration)</w:t>
      </w:r>
      <w:r>
        <w:rPr>
          <w:spacing w:val="5"/>
        </w:rPr>
        <w:t> </w:t>
      </w:r>
      <w:r>
        <w:rPr/>
        <w:t>pour</w:t>
      </w:r>
      <w:r>
        <w:rPr>
          <w:spacing w:val="8"/>
        </w:rPr>
        <w:t> </w:t>
      </w:r>
      <w:r>
        <w:rPr/>
        <w:t>un</w:t>
      </w:r>
      <w:r>
        <w:rPr>
          <w:spacing w:val="6"/>
        </w:rPr>
        <w:t> </w:t>
      </w:r>
      <w:r>
        <w:rPr>
          <w:spacing w:val="-2"/>
        </w:rPr>
        <w:t>total</w:t>
      </w:r>
    </w:p>
    <w:p>
      <w:pPr>
        <w:pStyle w:val="BodyText"/>
        <w:ind w:left="1298"/>
        <w:jc w:val="both"/>
      </w:pPr>
      <w:r>
        <w:rPr/>
        <w:t>de</w:t>
      </w:r>
      <w:r>
        <w:rPr>
          <w:spacing w:val="18"/>
        </w:rPr>
        <w:t> </w:t>
      </w:r>
      <w:r>
        <w:rPr/>
        <w:t>140</w:t>
      </w:r>
      <w:r>
        <w:rPr>
          <w:spacing w:val="20"/>
        </w:rPr>
        <w:t> </w:t>
      </w:r>
      <w:r>
        <w:rPr/>
        <w:t>articles</w:t>
      </w:r>
      <w:r>
        <w:rPr>
          <w:spacing w:val="20"/>
        </w:rPr>
        <w:t> </w:t>
      </w:r>
      <w:r>
        <w:rPr/>
        <w:t>spécifiés</w:t>
      </w:r>
      <w:r>
        <w:rPr>
          <w:spacing w:val="22"/>
        </w:rPr>
        <w:t> </w:t>
      </w:r>
      <w:r>
        <w:rPr/>
        <w:t>sous</w:t>
      </w:r>
      <w:r>
        <w:rPr>
          <w:spacing w:val="20"/>
        </w:rPr>
        <w:t> </w:t>
      </w:r>
      <w:r>
        <w:rPr/>
        <w:t>diverses</w:t>
      </w:r>
      <w:r>
        <w:rPr>
          <w:spacing w:val="20"/>
        </w:rPr>
        <w:t> </w:t>
      </w:r>
      <w:r>
        <w:rPr/>
        <w:t>désignations</w:t>
      </w:r>
      <w:r>
        <w:rPr>
          <w:spacing w:val="24"/>
        </w:rPr>
        <w:t> </w:t>
      </w:r>
      <w:r>
        <w:rPr/>
        <w:t>«WG1»</w:t>
      </w:r>
      <w:r>
        <w:rPr>
          <w:spacing w:val="15"/>
        </w:rPr>
        <w:t> </w:t>
      </w:r>
      <w:r>
        <w:rPr/>
        <w:t>ou</w:t>
      </w:r>
      <w:r>
        <w:rPr>
          <w:spacing w:val="25"/>
        </w:rPr>
        <w:t> </w:t>
      </w:r>
      <w:r>
        <w:rPr/>
        <w:t>«WG2»</w:t>
      </w:r>
      <w:r>
        <w:rPr>
          <w:spacing w:val="15"/>
        </w:rPr>
        <w:t> </w:t>
      </w:r>
      <w:r>
        <w:rPr>
          <w:spacing w:val="-2"/>
        </w:rPr>
        <w:t>(comme</w:t>
      </w:r>
    </w:p>
    <w:p>
      <w:pPr>
        <w:pStyle w:val="BodyText"/>
        <w:ind w:left="1298" w:right="164"/>
        <w:jc w:val="both"/>
      </w:pPr>
      <w:r>
        <w:rPr/>
        <w:t>«WG1 nappa black»). Ces documents correspondent à la même transaction détaillée dans la première facture de la pièce 2 datée du 26 février 2021, qui peut être vérifiée par le même numéro de commande sur tous les documents, la référence au bon de livraison figurant sur la facture, ainsi que la quantité correspondante d’articles par modèle et par taille.</w:t>
      </w:r>
    </w:p>
    <w:p>
      <w:pPr>
        <w:pStyle w:val="BodyText"/>
        <w:rPr>
          <w:sz w:val="18"/>
        </w:rPr>
      </w:pPr>
    </w:p>
    <w:p>
      <w:pPr>
        <w:pStyle w:val="BodyText"/>
        <w:spacing w:before="103"/>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ListParagraph"/>
        <w:numPr>
          <w:ilvl w:val="1"/>
          <w:numId w:val="1"/>
        </w:numPr>
        <w:tabs>
          <w:tab w:pos="1296" w:val="left" w:leader="none"/>
          <w:tab w:pos="1298" w:val="left" w:leader="none"/>
        </w:tabs>
        <w:spacing w:line="240" w:lineRule="auto" w:before="204" w:after="0"/>
        <w:ind w:left="1298" w:right="162" w:hanging="567"/>
        <w:jc w:val="both"/>
        <w:rPr>
          <w:sz w:val="24"/>
        </w:rPr>
      </w:pPr>
      <w:r>
        <w:rPr>
          <w:sz w:val="24"/>
        </w:rPr>
        <mc:AlternateContent>
          <mc:Choice Requires="wps">
            <w:drawing>
              <wp:anchor distT="0" distB="0" distL="0" distR="0" allowOverlap="1" layoutInCell="1" locked="0" behindDoc="0" simplePos="0" relativeHeight="15734272">
                <wp:simplePos x="0" y="0"/>
                <wp:positionH relativeFrom="page">
                  <wp:posOffset>270575</wp:posOffset>
                </wp:positionH>
                <wp:positionV relativeFrom="page">
                  <wp:posOffset>1114363</wp:posOffset>
                </wp:positionV>
                <wp:extent cx="146050" cy="921004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4272" type="#_x0000_t202" id="docshape1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b/>
          <w:sz w:val="24"/>
          <w:u w:val="single"/>
        </w:rPr>
        <w:t>Pièce 5</w:t>
      </w:r>
      <w:r>
        <w:rPr>
          <w:b/>
          <w:sz w:val="24"/>
        </w:rPr>
        <w:t>: </w:t>
      </w:r>
      <w:r>
        <w:rPr>
          <w:sz w:val="24"/>
        </w:rPr>
        <w:t>cinq factures adressées par un fabricant en Italie à la titulaire de la marque de l’Union européenne, datées du 6 novembre 2020 au 15 février 2021. Les champs de description renvoient aux produits «WONDERGIRL» et «WG1» et «WG2».</w:t>
      </w:r>
    </w:p>
    <w:p>
      <w:pPr>
        <w:pStyle w:val="BodyText"/>
      </w:pPr>
    </w:p>
    <w:p>
      <w:pPr>
        <w:pStyle w:val="BodyText"/>
        <w:spacing w:before="202"/>
      </w:pPr>
    </w:p>
    <w:p>
      <w:pPr>
        <w:pStyle w:val="ListParagraph"/>
        <w:numPr>
          <w:ilvl w:val="1"/>
          <w:numId w:val="1"/>
        </w:numPr>
        <w:tabs>
          <w:tab w:pos="1296" w:val="left" w:leader="none"/>
        </w:tabs>
        <w:spacing w:line="294" w:lineRule="exact" w:before="1" w:after="0"/>
        <w:ind w:left="1296" w:right="0" w:hanging="565"/>
        <w:jc w:val="both"/>
        <w:rPr>
          <w:sz w:val="24"/>
        </w:rPr>
      </w:pPr>
      <w:r>
        <w:rPr>
          <w:b/>
          <w:sz w:val="24"/>
          <w:u w:val="single"/>
        </w:rPr>
        <w:t>Pièce</w:t>
      </w:r>
      <w:r>
        <w:rPr>
          <w:b/>
          <w:spacing w:val="33"/>
          <w:sz w:val="24"/>
          <w:u w:val="single"/>
        </w:rPr>
        <w:t>  </w:t>
      </w:r>
      <w:r>
        <w:rPr>
          <w:b/>
          <w:sz w:val="24"/>
          <w:u w:val="single"/>
        </w:rPr>
        <w:t>6</w:t>
      </w:r>
      <w:r>
        <w:rPr>
          <w:b/>
          <w:sz w:val="24"/>
        </w:rPr>
        <w:t>:</w:t>
      </w:r>
      <w:r>
        <w:rPr>
          <w:b/>
          <w:spacing w:val="36"/>
          <w:sz w:val="24"/>
        </w:rPr>
        <w:t>  </w:t>
      </w:r>
      <w:r>
        <w:rPr>
          <w:sz w:val="24"/>
        </w:rPr>
        <w:t>des</w:t>
      </w:r>
      <w:r>
        <w:rPr>
          <w:spacing w:val="37"/>
          <w:sz w:val="24"/>
        </w:rPr>
        <w:t>  </w:t>
      </w:r>
      <w:r>
        <w:rPr>
          <w:sz w:val="24"/>
        </w:rPr>
        <w:t>photographies</w:t>
      </w:r>
      <w:r>
        <w:rPr>
          <w:spacing w:val="36"/>
          <w:sz w:val="24"/>
        </w:rPr>
        <w:t>  </w:t>
      </w:r>
      <w:r>
        <w:rPr>
          <w:sz w:val="24"/>
        </w:rPr>
        <w:t>de</w:t>
      </w:r>
      <w:r>
        <w:rPr>
          <w:spacing w:val="35"/>
          <w:sz w:val="24"/>
        </w:rPr>
        <w:t>  </w:t>
      </w:r>
      <w:r>
        <w:rPr>
          <w:sz w:val="24"/>
        </w:rPr>
        <w:t>boîtes</w:t>
      </w:r>
      <w:r>
        <w:rPr>
          <w:spacing w:val="37"/>
          <w:sz w:val="24"/>
        </w:rPr>
        <w:t>  </w:t>
      </w:r>
      <w:r>
        <w:rPr>
          <w:sz w:val="24"/>
        </w:rPr>
        <w:t>à</w:t>
      </w:r>
      <w:r>
        <w:rPr>
          <w:spacing w:val="36"/>
          <w:sz w:val="24"/>
        </w:rPr>
        <w:t>  </w:t>
      </w:r>
      <w:r>
        <w:rPr>
          <w:sz w:val="24"/>
        </w:rPr>
        <w:t>chaussures</w:t>
      </w:r>
      <w:r>
        <w:rPr>
          <w:spacing w:val="36"/>
          <w:sz w:val="24"/>
        </w:rPr>
        <w:t>  </w:t>
      </w:r>
      <w:r>
        <w:rPr>
          <w:sz w:val="24"/>
        </w:rPr>
        <w:t>portant</w:t>
      </w:r>
      <w:r>
        <w:rPr>
          <w:spacing w:val="37"/>
          <w:sz w:val="24"/>
        </w:rPr>
        <w:t>  </w:t>
      </w:r>
      <w:r>
        <w:rPr>
          <w:spacing w:val="-2"/>
          <w:sz w:val="24"/>
        </w:rPr>
        <w:t>l’indication</w:t>
      </w:r>
    </w:p>
    <w:p>
      <w:pPr>
        <w:pStyle w:val="BodyText"/>
        <w:ind w:left="1298" w:right="162"/>
        <w:jc w:val="both"/>
      </w:pPr>
      <w:r>
        <w:rPr/>
        <w:t>«WONDERGIRL», similaires à celles figurant à l’annexe 4, ainsi que des photographies d’étagères dans un local de rangement contenant des boîtes à </w:t>
      </w:r>
      <w:r>
        <w:rPr>
          <w:spacing w:val="-2"/>
        </w:rPr>
        <w:t>chaussures.</w:t>
      </w:r>
    </w:p>
    <w:p>
      <w:pPr>
        <w:pStyle w:val="ListParagraph"/>
        <w:numPr>
          <w:ilvl w:val="1"/>
          <w:numId w:val="1"/>
        </w:numPr>
        <w:tabs>
          <w:tab w:pos="1296" w:val="left" w:leader="none"/>
          <w:tab w:pos="1298" w:val="left" w:leader="none"/>
        </w:tabs>
        <w:spacing w:line="240" w:lineRule="auto" w:before="239" w:after="0"/>
        <w:ind w:left="1298" w:right="162" w:hanging="567"/>
        <w:jc w:val="both"/>
        <w:rPr>
          <w:sz w:val="24"/>
        </w:rPr>
      </w:pPr>
      <w:r>
        <w:rPr>
          <w:b/>
          <w:sz w:val="24"/>
          <w:u w:val="single"/>
        </w:rPr>
        <w:t>Pièce 7</w:t>
      </w:r>
      <w:r>
        <w:rPr>
          <w:b/>
          <w:sz w:val="24"/>
        </w:rPr>
        <w:t>: </w:t>
      </w:r>
      <w:r>
        <w:rPr>
          <w:sz w:val="24"/>
        </w:rPr>
        <w:t>des photographies de chaussures portant la mention «WONDERGIRL» visible sur les articles du produit et sur des boîtes à chaussures, similaires à celles figurant à l’annexe 5, comme dans les exemples suivants:</w:t>
      </w:r>
    </w:p>
    <w:p>
      <w:pPr>
        <w:pStyle w:val="BodyText"/>
        <w:spacing w:before="9"/>
        <w:rPr>
          <w:sz w:val="18"/>
        </w:rPr>
      </w:pPr>
      <w:r>
        <w:rPr>
          <w:sz w:val="18"/>
        </w:rPr>
        <w:drawing>
          <wp:anchor distT="0" distB="0" distL="0" distR="0" allowOverlap="1" layoutInCell="1" locked="0" behindDoc="1" simplePos="0" relativeHeight="487592960">
            <wp:simplePos x="0" y="0"/>
            <wp:positionH relativeFrom="page">
              <wp:posOffset>2301239</wp:posOffset>
            </wp:positionH>
            <wp:positionV relativeFrom="paragraph">
              <wp:posOffset>152938</wp:posOffset>
            </wp:positionV>
            <wp:extent cx="3324608" cy="2163603"/>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4" cstate="print"/>
                    <a:stretch>
                      <a:fillRect/>
                    </a:stretch>
                  </pic:blipFill>
                  <pic:spPr>
                    <a:xfrm>
                      <a:off x="0" y="0"/>
                      <a:ext cx="3324608" cy="2163603"/>
                    </a:xfrm>
                    <a:prstGeom prst="rect">
                      <a:avLst/>
                    </a:prstGeom>
                  </pic:spPr>
                </pic:pic>
              </a:graphicData>
            </a:graphic>
          </wp:anchor>
        </w:drawing>
      </w:r>
    </w:p>
    <w:p>
      <w:pPr>
        <w:pStyle w:val="ListParagraph"/>
        <w:numPr>
          <w:ilvl w:val="1"/>
          <w:numId w:val="1"/>
        </w:numPr>
        <w:tabs>
          <w:tab w:pos="1296" w:val="left" w:leader="none"/>
          <w:tab w:pos="1298" w:val="left" w:leader="none"/>
        </w:tabs>
        <w:spacing w:line="240" w:lineRule="auto" w:before="232" w:after="0"/>
        <w:ind w:left="1298" w:right="165" w:hanging="567"/>
        <w:jc w:val="both"/>
        <w:rPr>
          <w:sz w:val="24"/>
        </w:rPr>
      </w:pPr>
      <w:r>
        <w:rPr>
          <w:b/>
          <w:sz w:val="24"/>
          <w:u w:val="single"/>
        </w:rPr>
        <w:t>Pièce 8</w:t>
      </w:r>
      <w:r>
        <w:rPr>
          <w:b/>
          <w:sz w:val="24"/>
        </w:rPr>
        <w:t>: </w:t>
      </w:r>
      <w:r>
        <w:rPr>
          <w:sz w:val="24"/>
        </w:rPr>
        <w:t>captures d’écran du site internet de la titulaire de la marque de l’Union européenne dans lesquelles figure le signe </w:t>
      </w:r>
      <w:r>
        <w:rPr>
          <w:spacing w:val="17"/>
          <w:position w:val="1"/>
          <w:sz w:val="24"/>
        </w:rPr>
        <w:drawing>
          <wp:inline distT="0" distB="0" distL="0" distR="0">
            <wp:extent cx="1173479" cy="396849"/>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1173479" cy="396849"/>
                    </a:xfrm>
                    <a:prstGeom prst="rect">
                      <a:avLst/>
                    </a:prstGeom>
                  </pic:spPr>
                </pic:pic>
              </a:graphicData>
            </a:graphic>
          </wp:inline>
        </w:drawing>
      </w:r>
      <w:r>
        <w:rPr>
          <w:spacing w:val="17"/>
          <w:position w:val="1"/>
          <w:sz w:val="24"/>
        </w:rPr>
      </w:r>
      <w:r>
        <w:rPr>
          <w:spacing w:val="5"/>
          <w:sz w:val="24"/>
        </w:rPr>
        <w:t> </w:t>
      </w:r>
      <w:r>
        <w:rPr>
          <w:sz w:val="24"/>
        </w:rPr>
        <w:t>en haut des pages, montrant des chaussures indiquées comme «WONDERGIRL» disponibles à l’achat en ligne, à l’instar de l’annexe 3.</w:t>
      </w:r>
    </w:p>
    <w:p>
      <w:pPr>
        <w:pStyle w:val="ListParagraph"/>
        <w:numPr>
          <w:ilvl w:val="0"/>
          <w:numId w:val="1"/>
        </w:numPr>
        <w:tabs>
          <w:tab w:pos="731" w:val="left" w:leader="none"/>
        </w:tabs>
        <w:spacing w:line="240" w:lineRule="auto" w:before="241" w:after="0"/>
        <w:ind w:left="731" w:right="165" w:hanging="567"/>
        <w:jc w:val="both"/>
        <w:rPr>
          <w:sz w:val="24"/>
        </w:rPr>
      </w:pPr>
      <w:r>
        <w:rPr>
          <w:sz w:val="24"/>
        </w:rPr>
        <w:t>Par décision du 28 juin 2024 (ci-après la «décision attaquée»), la division d’annulation</w:t>
      </w:r>
      <w:r>
        <w:rPr>
          <w:spacing w:val="40"/>
          <w:sz w:val="24"/>
        </w:rPr>
        <w:t> </w:t>
      </w:r>
      <w:r>
        <w:rPr>
          <w:sz w:val="24"/>
        </w:rPr>
        <w:t>a prononcé la déchéance partielle de la marque de l’Union européenne contestée pour les produits suivants:</w:t>
      </w:r>
    </w:p>
    <w:p>
      <w:pPr>
        <w:spacing w:before="240"/>
        <w:ind w:left="734" w:right="160" w:firstLine="0"/>
        <w:jc w:val="both"/>
        <w:rPr>
          <w:sz w:val="24"/>
        </w:rPr>
      </w:pPr>
      <w:r>
        <w:rPr>
          <w:sz w:val="24"/>
        </w:rPr>
        <w:t>Classe 18:</w:t>
      </w:r>
      <w:r>
        <w:rPr>
          <w:spacing w:val="-1"/>
          <w:sz w:val="24"/>
        </w:rPr>
        <w:t> </w:t>
      </w:r>
      <w:r>
        <w:rPr>
          <w:i/>
          <w:sz w:val="24"/>
        </w:rPr>
        <w:t>Bagages, sacs, portefeuilles et autres objets de transport; Cannes; Sellerie, fouets et équipement pour animaux; Parapluies et parasols; Sacs à main; Sacoches; Sacs de voyage en imitation cuir; Sacs en simili-cuir; Sacs à bandoulière; Sacs pour couches-culottes; Enveloppes en cuir pour l’emballage; Bagages; Sacs pochettes; Sacs de tous les jours; Sacs de gymnastique; Peaux de chamois, autres que pour le nettoyage; Toile de cuir; Cuir pour chaussures; Cuir et imitations du cuir; Malles et valises; Sacs à main de voyage; Pochettes; Sacs à provisions; Sacs à provisions en peau; Étuis pour clés sous forme d’étuis; Portefeuilles avec compartiments pour</w:t>
      </w:r>
      <w:r>
        <w:rPr>
          <w:i/>
          <w:spacing w:val="80"/>
          <w:sz w:val="24"/>
        </w:rPr>
        <w:t> </w:t>
      </w:r>
      <w:r>
        <w:rPr>
          <w:i/>
          <w:sz w:val="24"/>
        </w:rPr>
        <w:t>cartes;</w:t>
      </w:r>
      <w:r>
        <w:rPr>
          <w:i/>
          <w:spacing w:val="-1"/>
          <w:sz w:val="24"/>
        </w:rPr>
        <w:t> </w:t>
      </w:r>
      <w:r>
        <w:rPr>
          <w:i/>
          <w:sz w:val="24"/>
        </w:rPr>
        <w:t>Sacs à main en cuir; Sacs à main en imitation cuir; Sacs à main, porte-monnaie et portefeuilles; Sacs à dos</w:t>
      </w:r>
      <w:r>
        <w:rPr>
          <w:sz w:val="24"/>
        </w:rPr>
        <w:t>.</w:t>
      </w:r>
    </w:p>
    <w:p>
      <w:pPr>
        <w:pStyle w:val="BodyText"/>
        <w:rPr>
          <w:sz w:val="18"/>
        </w:rPr>
      </w:pPr>
    </w:p>
    <w:p>
      <w:pPr>
        <w:pStyle w:val="BodyText"/>
        <w:rPr>
          <w:sz w:val="18"/>
        </w:rPr>
      </w:pPr>
    </w:p>
    <w:p>
      <w:pPr>
        <w:pStyle w:val="BodyText"/>
        <w:spacing w:before="173"/>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spacing w:before="204"/>
        <w:ind w:left="734" w:right="169" w:firstLine="0"/>
        <w:jc w:val="both"/>
        <w:rPr>
          <w:i/>
          <w:sz w:val="24"/>
        </w:rPr>
      </w:pPr>
      <w:r>
        <w:rPr>
          <w:i/>
          <w:sz w:val="24"/>
        </w:rPr>
        <mc:AlternateContent>
          <mc:Choice Requires="wps">
            <w:drawing>
              <wp:anchor distT="0" distB="0" distL="0" distR="0" allowOverlap="1" layoutInCell="1" locked="0" behindDoc="0" simplePos="0" relativeHeight="15734784">
                <wp:simplePos x="0" y="0"/>
                <wp:positionH relativeFrom="page">
                  <wp:posOffset>270575</wp:posOffset>
                </wp:positionH>
                <wp:positionV relativeFrom="page">
                  <wp:posOffset>1114363</wp:posOffset>
                </wp:positionV>
                <wp:extent cx="146050" cy="921004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4784" type="#_x0000_t202" id="docshape1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4"/>
        </w:rPr>
        <w:t>Classe 25:</w:t>
      </w:r>
      <w:r>
        <w:rPr>
          <w:spacing w:val="-1"/>
          <w:sz w:val="24"/>
        </w:rPr>
        <w:t> </w:t>
      </w:r>
      <w:r>
        <w:rPr>
          <w:i/>
          <w:sz w:val="24"/>
        </w:rPr>
        <w:t>Vêtements; Chapellerie; Chaussures à l’exception des chaussures pour femmes; Ceintures à porter; Foulards.</w:t>
      </w:r>
    </w:p>
    <w:p>
      <w:pPr>
        <w:spacing w:before="240"/>
        <w:ind w:left="734" w:right="161" w:firstLine="0"/>
        <w:jc w:val="both"/>
        <w:rPr>
          <w:i/>
          <w:sz w:val="24"/>
        </w:rPr>
      </w:pPr>
      <w:r>
        <w:rPr>
          <w:sz w:val="24"/>
        </w:rPr>
        <w:t>Classe 35:</w:t>
      </w:r>
      <w:r>
        <w:rPr>
          <w:spacing w:val="-1"/>
          <w:sz w:val="24"/>
        </w:rPr>
        <w:t> </w:t>
      </w:r>
      <w:r>
        <w:rPr>
          <w:i/>
          <w:sz w:val="24"/>
        </w:rPr>
        <w:t>Services d’analyse, de recherche et d’informations commerciales; Services d’aide et de gestion des affaires et services administratifs; Services de négociations commerciales et d’information de la clientèle; Services de publicité, de marketing et de promotion; Vente au détail, également par l’intermédiaire de sites internet et de téléachat, de malles et de valises, sacs, sacs à main, portefeuilles, porte-monnaie, étuis pour</w:t>
      </w:r>
      <w:r>
        <w:rPr>
          <w:i/>
          <w:spacing w:val="-3"/>
          <w:sz w:val="24"/>
        </w:rPr>
        <w:t> </w:t>
      </w:r>
      <w:r>
        <w:rPr>
          <w:i/>
          <w:sz w:val="24"/>
        </w:rPr>
        <w:t>clés,</w:t>
      </w:r>
      <w:r>
        <w:rPr>
          <w:i/>
          <w:spacing w:val="-3"/>
          <w:sz w:val="24"/>
        </w:rPr>
        <w:t> </w:t>
      </w:r>
      <w:r>
        <w:rPr>
          <w:i/>
          <w:sz w:val="24"/>
        </w:rPr>
        <w:t>sacs</w:t>
      </w:r>
      <w:r>
        <w:rPr>
          <w:i/>
          <w:spacing w:val="-3"/>
          <w:sz w:val="24"/>
        </w:rPr>
        <w:t> </w:t>
      </w:r>
      <w:r>
        <w:rPr>
          <w:i/>
          <w:sz w:val="24"/>
        </w:rPr>
        <w:t>à</w:t>
      </w:r>
      <w:r>
        <w:rPr>
          <w:i/>
          <w:spacing w:val="-2"/>
          <w:sz w:val="24"/>
        </w:rPr>
        <w:t> </w:t>
      </w:r>
      <w:r>
        <w:rPr>
          <w:i/>
          <w:sz w:val="24"/>
        </w:rPr>
        <w:t>dos,</w:t>
      </w:r>
      <w:r>
        <w:rPr>
          <w:i/>
          <w:spacing w:val="-3"/>
          <w:sz w:val="24"/>
        </w:rPr>
        <w:t> </w:t>
      </w:r>
      <w:r>
        <w:rPr>
          <w:i/>
          <w:sz w:val="24"/>
        </w:rPr>
        <w:t>pochettes,</w:t>
      </w:r>
      <w:r>
        <w:rPr>
          <w:i/>
          <w:spacing w:val="-3"/>
          <w:sz w:val="24"/>
        </w:rPr>
        <w:t> </w:t>
      </w:r>
      <w:r>
        <w:rPr>
          <w:i/>
          <w:sz w:val="24"/>
        </w:rPr>
        <w:t>parapluies,</w:t>
      </w:r>
      <w:r>
        <w:rPr>
          <w:i/>
          <w:spacing w:val="-3"/>
          <w:sz w:val="24"/>
        </w:rPr>
        <w:t> </w:t>
      </w:r>
      <w:r>
        <w:rPr>
          <w:i/>
          <w:sz w:val="24"/>
        </w:rPr>
        <w:t>vêtements,</w:t>
      </w:r>
      <w:r>
        <w:rPr>
          <w:i/>
          <w:spacing w:val="-3"/>
          <w:sz w:val="24"/>
        </w:rPr>
        <w:t> </w:t>
      </w:r>
      <w:r>
        <w:rPr>
          <w:i/>
          <w:sz w:val="24"/>
        </w:rPr>
        <w:t>chaussures,</w:t>
      </w:r>
      <w:r>
        <w:rPr>
          <w:i/>
          <w:spacing w:val="-3"/>
          <w:sz w:val="24"/>
        </w:rPr>
        <w:t> </w:t>
      </w:r>
      <w:r>
        <w:rPr>
          <w:i/>
          <w:sz w:val="24"/>
        </w:rPr>
        <w:t>chapellerie,</w:t>
      </w:r>
      <w:r>
        <w:rPr>
          <w:i/>
          <w:spacing w:val="-3"/>
          <w:sz w:val="24"/>
        </w:rPr>
        <w:t> </w:t>
      </w:r>
      <w:r>
        <w:rPr>
          <w:i/>
          <w:sz w:val="24"/>
        </w:rPr>
        <w:t>savons, parfumerie,</w:t>
      </w:r>
      <w:r>
        <w:rPr>
          <w:i/>
          <w:spacing w:val="-3"/>
          <w:sz w:val="24"/>
        </w:rPr>
        <w:t> </w:t>
      </w:r>
      <w:r>
        <w:rPr>
          <w:i/>
          <w:sz w:val="24"/>
        </w:rPr>
        <w:t>huiles</w:t>
      </w:r>
      <w:r>
        <w:rPr>
          <w:i/>
          <w:spacing w:val="-2"/>
          <w:sz w:val="24"/>
        </w:rPr>
        <w:t> </w:t>
      </w:r>
      <w:r>
        <w:rPr>
          <w:i/>
          <w:sz w:val="24"/>
        </w:rPr>
        <w:t>essentielles,</w:t>
      </w:r>
      <w:r>
        <w:rPr>
          <w:i/>
          <w:spacing w:val="-3"/>
          <w:sz w:val="24"/>
        </w:rPr>
        <w:t> </w:t>
      </w:r>
      <w:r>
        <w:rPr>
          <w:i/>
          <w:sz w:val="24"/>
        </w:rPr>
        <w:t>cosmétiques,</w:t>
      </w:r>
      <w:r>
        <w:rPr>
          <w:i/>
          <w:spacing w:val="-2"/>
          <w:sz w:val="24"/>
        </w:rPr>
        <w:t> </w:t>
      </w:r>
      <w:r>
        <w:rPr>
          <w:i/>
          <w:sz w:val="24"/>
        </w:rPr>
        <w:t>lotions</w:t>
      </w:r>
      <w:r>
        <w:rPr>
          <w:i/>
          <w:spacing w:val="-2"/>
          <w:sz w:val="24"/>
        </w:rPr>
        <w:t> </w:t>
      </w:r>
      <w:r>
        <w:rPr>
          <w:i/>
          <w:sz w:val="24"/>
        </w:rPr>
        <w:t>pour</w:t>
      </w:r>
      <w:r>
        <w:rPr>
          <w:i/>
          <w:spacing w:val="-2"/>
          <w:sz w:val="24"/>
        </w:rPr>
        <w:t> </w:t>
      </w:r>
      <w:r>
        <w:rPr>
          <w:i/>
          <w:sz w:val="24"/>
        </w:rPr>
        <w:t>les</w:t>
      </w:r>
      <w:r>
        <w:rPr>
          <w:i/>
          <w:spacing w:val="-3"/>
          <w:sz w:val="24"/>
        </w:rPr>
        <w:t> </w:t>
      </w:r>
      <w:r>
        <w:rPr>
          <w:i/>
          <w:sz w:val="24"/>
        </w:rPr>
        <w:t>cheveux,</w:t>
      </w:r>
      <w:r>
        <w:rPr>
          <w:i/>
          <w:spacing w:val="-2"/>
          <w:sz w:val="24"/>
        </w:rPr>
        <w:t> </w:t>
      </w:r>
      <w:r>
        <w:rPr>
          <w:i/>
          <w:sz w:val="24"/>
        </w:rPr>
        <w:t>lunettes</w:t>
      </w:r>
      <w:r>
        <w:rPr>
          <w:i/>
          <w:spacing w:val="-3"/>
          <w:sz w:val="24"/>
        </w:rPr>
        <w:t> </w:t>
      </w:r>
      <w:r>
        <w:rPr>
          <w:i/>
          <w:sz w:val="24"/>
        </w:rPr>
        <w:t>de</w:t>
      </w:r>
      <w:r>
        <w:rPr>
          <w:i/>
          <w:spacing w:val="-3"/>
          <w:sz w:val="24"/>
        </w:rPr>
        <w:t> </w:t>
      </w:r>
      <w:r>
        <w:rPr>
          <w:i/>
          <w:sz w:val="24"/>
        </w:rPr>
        <w:t>soleil, métaux précieux et leurs alliages, joaillerie, bijouterie, pierres précieuses, horloges et montres; Organisation et conduite de manifestations publicitaires et de programmes de fidélisation de la clientèle; Services de vente au détail, également par l’intermédiaire</w:t>
      </w:r>
      <w:r>
        <w:rPr>
          <w:i/>
          <w:spacing w:val="40"/>
          <w:sz w:val="24"/>
        </w:rPr>
        <w:t> </w:t>
      </w:r>
      <w:r>
        <w:rPr>
          <w:i/>
          <w:sz w:val="24"/>
        </w:rPr>
        <w:t>de sites internet et de téléachat, en rapport avec des ceintures, écharpes, valises, </w:t>
      </w:r>
      <w:r>
        <w:rPr>
          <w:i/>
          <w:spacing w:val="-2"/>
          <w:sz w:val="24"/>
        </w:rPr>
        <w:t>parasols.</w:t>
      </w:r>
    </w:p>
    <w:p>
      <w:pPr>
        <w:spacing w:before="241"/>
        <w:ind w:left="731" w:right="161" w:firstLine="0"/>
        <w:jc w:val="both"/>
        <w:rPr>
          <w:sz w:val="24"/>
        </w:rPr>
      </w:pPr>
      <w:r>
        <w:rPr>
          <w:sz w:val="24"/>
        </w:rPr>
        <w:t>La marque de l’Union européenne contestée est restée enregistrée pour </w:t>
      </w:r>
      <w:r>
        <w:rPr>
          <w:i/>
          <w:sz w:val="24"/>
        </w:rPr>
        <w:t>des chaussures pour femmes </w:t>
      </w:r>
      <w:r>
        <w:rPr>
          <w:sz w:val="24"/>
        </w:rPr>
        <w:t>comprises dans la classe 25.</w:t>
      </w:r>
    </w:p>
    <w:p>
      <w:pPr>
        <w:pStyle w:val="ListParagraph"/>
        <w:numPr>
          <w:ilvl w:val="0"/>
          <w:numId w:val="1"/>
        </w:numPr>
        <w:tabs>
          <w:tab w:pos="731" w:val="left" w:leader="none"/>
        </w:tabs>
        <w:spacing w:line="240" w:lineRule="auto" w:before="240" w:after="0"/>
        <w:ind w:left="731" w:right="0" w:hanging="566"/>
        <w:jc w:val="left"/>
        <w:rPr>
          <w:sz w:val="24"/>
        </w:rPr>
      </w:pPr>
      <w:r>
        <w:rPr>
          <w:sz w:val="24"/>
        </w:rPr>
        <w:t>Elle</w:t>
      </w:r>
      <w:r>
        <w:rPr>
          <w:spacing w:val="-1"/>
          <w:sz w:val="24"/>
        </w:rPr>
        <w:t> </w:t>
      </w:r>
      <w:r>
        <w:rPr>
          <w:sz w:val="24"/>
        </w:rPr>
        <w:t>a,</w:t>
      </w:r>
      <w:r>
        <w:rPr>
          <w:spacing w:val="-1"/>
          <w:sz w:val="24"/>
        </w:rPr>
        <w:t> </w:t>
      </w:r>
      <w:r>
        <w:rPr>
          <w:sz w:val="24"/>
        </w:rPr>
        <w:t>notamment,</w:t>
      </w:r>
      <w:r>
        <w:rPr>
          <w:spacing w:val="-1"/>
          <w:sz w:val="24"/>
        </w:rPr>
        <w:t> </w:t>
      </w:r>
      <w:r>
        <w:rPr>
          <w:sz w:val="24"/>
        </w:rPr>
        <w:t>motivé sa</w:t>
      </w:r>
      <w:r>
        <w:rPr>
          <w:spacing w:val="-3"/>
          <w:sz w:val="24"/>
        </w:rPr>
        <w:t> </w:t>
      </w:r>
      <w:r>
        <w:rPr>
          <w:sz w:val="24"/>
        </w:rPr>
        <w:t>décision</w:t>
      </w:r>
      <w:r>
        <w:rPr>
          <w:spacing w:val="-1"/>
          <w:sz w:val="24"/>
        </w:rPr>
        <w:t> </w:t>
      </w:r>
      <w:r>
        <w:rPr>
          <w:sz w:val="24"/>
        </w:rPr>
        <w:t>comme</w:t>
      </w:r>
      <w:r>
        <w:rPr>
          <w:spacing w:val="-1"/>
          <w:sz w:val="24"/>
        </w:rPr>
        <w:t> </w:t>
      </w:r>
      <w:r>
        <w:rPr>
          <w:spacing w:val="-2"/>
          <w:sz w:val="24"/>
        </w:rPr>
        <w:t>suit:</w:t>
      </w:r>
    </w:p>
    <w:p>
      <w:pPr>
        <w:pStyle w:val="ListParagraph"/>
        <w:numPr>
          <w:ilvl w:val="1"/>
          <w:numId w:val="1"/>
        </w:numPr>
        <w:tabs>
          <w:tab w:pos="1296" w:val="left" w:leader="none"/>
          <w:tab w:pos="1298" w:val="left" w:leader="none"/>
        </w:tabs>
        <w:spacing w:line="240" w:lineRule="auto" w:before="240" w:after="0"/>
        <w:ind w:left="1298" w:right="163" w:hanging="567"/>
        <w:jc w:val="both"/>
        <w:rPr>
          <w:sz w:val="24"/>
        </w:rPr>
      </w:pPr>
      <w:r>
        <w:rPr>
          <w:sz w:val="24"/>
        </w:rPr>
        <w:t>La titulaire de la marque de l’Union européenne soutient à tort que la division d’annulation ne devrait pas tenir compte des éléments de preuve relatifs aux trois derniers mois précédant le dépôt de la demande parce qu’elle a été contactée le 4 novembre 2022 et qu’elle a averti la possibilité que la demande en déchéance allait</w:t>
      </w:r>
      <w:r>
        <w:rPr>
          <w:spacing w:val="-1"/>
          <w:sz w:val="24"/>
        </w:rPr>
        <w:t> </w:t>
      </w:r>
      <w:r>
        <w:rPr>
          <w:sz w:val="24"/>
        </w:rPr>
        <w:t>être déposée. La disposition</w:t>
      </w:r>
      <w:r>
        <w:rPr>
          <w:spacing w:val="-1"/>
          <w:sz w:val="24"/>
        </w:rPr>
        <w:t> </w:t>
      </w:r>
      <w:r>
        <w:rPr>
          <w:sz w:val="24"/>
        </w:rPr>
        <w:t>de</w:t>
      </w:r>
      <w:r>
        <w:rPr>
          <w:spacing w:val="-1"/>
          <w:sz w:val="24"/>
        </w:rPr>
        <w:t> </w:t>
      </w:r>
      <w:r>
        <w:rPr>
          <w:sz w:val="24"/>
        </w:rPr>
        <w:t>l’article 58, paragraphe 1,</w:t>
      </w:r>
      <w:r>
        <w:rPr>
          <w:spacing w:val="-1"/>
          <w:sz w:val="24"/>
        </w:rPr>
        <w:t> </w:t>
      </w:r>
      <w:r>
        <w:rPr>
          <w:sz w:val="24"/>
        </w:rPr>
        <w:t>point a),</w:t>
      </w:r>
      <w:r>
        <w:rPr>
          <w:spacing w:val="-1"/>
          <w:sz w:val="24"/>
        </w:rPr>
        <w:t> </w:t>
      </w:r>
      <w:r>
        <w:rPr>
          <w:sz w:val="24"/>
        </w:rPr>
        <w:t>troisième phrase, du RMUE ne s’applique qu’aux cas </w:t>
      </w:r>
      <w:r>
        <w:rPr>
          <w:sz w:val="24"/>
          <w:u w:val="single"/>
        </w:rPr>
        <w:t>où le commencement ou</w:t>
      </w:r>
      <w:r>
        <w:rPr>
          <w:sz w:val="24"/>
        </w:rPr>
        <w:t> la reprise (après cinq ans) de l’usage sérieux a lieu au cours des trois mois précédant le dépôt de la demande en nullité et non aux cas, comme en l’espèce, où il existe également des preuves que</w:t>
      </w:r>
      <w:r>
        <w:rPr>
          <w:spacing w:val="-1"/>
          <w:sz w:val="24"/>
        </w:rPr>
        <w:t> </w:t>
      </w:r>
      <w:r>
        <w:rPr>
          <w:sz w:val="24"/>
        </w:rPr>
        <w:t>la</w:t>
      </w:r>
      <w:r>
        <w:rPr>
          <w:spacing w:val="-1"/>
          <w:sz w:val="24"/>
        </w:rPr>
        <w:t> </w:t>
      </w:r>
      <w:r>
        <w:rPr>
          <w:sz w:val="24"/>
        </w:rPr>
        <w:t>marque a</w:t>
      </w:r>
      <w:r>
        <w:rPr>
          <w:spacing w:val="-1"/>
          <w:sz w:val="24"/>
        </w:rPr>
        <w:t> </w:t>
      </w:r>
      <w:r>
        <w:rPr>
          <w:sz w:val="24"/>
        </w:rPr>
        <w:t>été</w:t>
      </w:r>
      <w:r>
        <w:rPr>
          <w:spacing w:val="-1"/>
          <w:sz w:val="24"/>
        </w:rPr>
        <w:t> </w:t>
      </w:r>
      <w:r>
        <w:rPr>
          <w:sz w:val="24"/>
        </w:rPr>
        <w:t>utilisée</w:t>
      </w:r>
      <w:r>
        <w:rPr>
          <w:spacing w:val="-1"/>
          <w:sz w:val="24"/>
        </w:rPr>
        <w:t> </w:t>
      </w:r>
      <w:r>
        <w:rPr>
          <w:sz w:val="24"/>
        </w:rPr>
        <w:t>avant ces mois et dans les</w:t>
      </w:r>
      <w:r>
        <w:rPr>
          <w:spacing w:val="-1"/>
          <w:sz w:val="24"/>
        </w:rPr>
        <w:t> </w:t>
      </w:r>
      <w:r>
        <w:rPr>
          <w:sz w:val="24"/>
        </w:rPr>
        <w:t>cinq ans suivant le</w:t>
      </w:r>
      <w:r>
        <w:rPr>
          <w:spacing w:val="-1"/>
          <w:sz w:val="24"/>
        </w:rPr>
        <w:t> </w:t>
      </w:r>
      <w:r>
        <w:rPr>
          <w:sz w:val="24"/>
        </w:rPr>
        <w:t>dépôt de</w:t>
      </w:r>
      <w:r>
        <w:rPr>
          <w:spacing w:val="-1"/>
          <w:sz w:val="24"/>
        </w:rPr>
        <w:t> </w:t>
      </w:r>
      <w:r>
        <w:rPr>
          <w:sz w:val="24"/>
        </w:rPr>
        <w:t>la demande. L’usage au cours</w:t>
      </w:r>
      <w:r>
        <w:rPr>
          <w:spacing w:val="-1"/>
          <w:sz w:val="24"/>
        </w:rPr>
        <w:t> </w:t>
      </w:r>
      <w:r>
        <w:rPr>
          <w:sz w:val="24"/>
        </w:rPr>
        <w:t>des trois derniers</w:t>
      </w:r>
      <w:r>
        <w:rPr>
          <w:spacing w:val="-1"/>
          <w:sz w:val="24"/>
        </w:rPr>
        <w:t> </w:t>
      </w:r>
      <w:r>
        <w:rPr>
          <w:sz w:val="24"/>
        </w:rPr>
        <w:t>mois de</w:t>
      </w:r>
      <w:r>
        <w:rPr>
          <w:spacing w:val="-1"/>
          <w:sz w:val="24"/>
        </w:rPr>
        <w:t> </w:t>
      </w:r>
      <w:r>
        <w:rPr>
          <w:sz w:val="24"/>
        </w:rPr>
        <w:t>la période ne devrait pas être ignoré lorsqu’il existe également des preuves de l’usage avant ces trois mois.</w:t>
      </w:r>
    </w:p>
    <w:p>
      <w:pPr>
        <w:pStyle w:val="ListParagraph"/>
        <w:numPr>
          <w:ilvl w:val="1"/>
          <w:numId w:val="1"/>
        </w:numPr>
        <w:tabs>
          <w:tab w:pos="1296" w:val="left" w:leader="none"/>
          <w:tab w:pos="1298" w:val="left" w:leader="none"/>
        </w:tabs>
        <w:spacing w:line="240" w:lineRule="auto" w:before="119" w:after="0"/>
        <w:ind w:left="1298" w:right="158" w:hanging="567"/>
        <w:jc w:val="both"/>
        <w:rPr>
          <w:sz w:val="24"/>
        </w:rPr>
      </w:pPr>
      <w:r>
        <w:rPr>
          <w:sz w:val="24"/>
          <w:u w:val="single"/>
        </w:rPr>
        <w:t>En</w:t>
      </w:r>
      <w:r>
        <w:rPr>
          <w:spacing w:val="-1"/>
          <w:sz w:val="24"/>
          <w:u w:val="single"/>
        </w:rPr>
        <w:t> </w:t>
      </w:r>
      <w:r>
        <w:rPr>
          <w:sz w:val="24"/>
          <w:u w:val="single"/>
        </w:rPr>
        <w:t>ce</w:t>
      </w:r>
      <w:r>
        <w:rPr>
          <w:spacing w:val="-1"/>
          <w:sz w:val="24"/>
          <w:u w:val="single"/>
        </w:rPr>
        <w:t> </w:t>
      </w:r>
      <w:r>
        <w:rPr>
          <w:sz w:val="24"/>
          <w:u w:val="single"/>
        </w:rPr>
        <w:t>qui concerne la</w:t>
      </w:r>
      <w:r>
        <w:rPr>
          <w:spacing w:val="-1"/>
          <w:sz w:val="24"/>
          <w:u w:val="single"/>
        </w:rPr>
        <w:t> </w:t>
      </w:r>
      <w:r>
        <w:rPr>
          <w:sz w:val="24"/>
          <w:u w:val="single"/>
        </w:rPr>
        <w:t>déclaration tenant lieu de serment</w:t>
      </w:r>
      <w:r>
        <w:rPr>
          <w:sz w:val="24"/>
        </w:rPr>
        <w:t> émanant de la</w:t>
      </w:r>
      <w:r>
        <w:rPr>
          <w:spacing w:val="-1"/>
          <w:sz w:val="24"/>
        </w:rPr>
        <w:t> </w:t>
      </w:r>
      <w:r>
        <w:rPr>
          <w:sz w:val="24"/>
        </w:rPr>
        <w:t>titulaire</w:t>
      </w:r>
      <w:r>
        <w:rPr>
          <w:spacing w:val="-2"/>
          <w:sz w:val="24"/>
        </w:rPr>
        <w:t> </w:t>
      </w:r>
      <w:r>
        <w:rPr>
          <w:sz w:val="24"/>
        </w:rPr>
        <w:t>de la MUE, l’article 10, paragraphe 4, du RDMUE (applicable aux procédures d’annulation en vertu de l’article 19, paragraphe 1, du RDMUE) mentionne expressément les déclarations écrites mentionnées à l’article 97, paragraphe 1, point f), du RMUE comme des moyens de preuve de l’usage recevables. Pour ce qui est de la valeur probante de ce type d’éléments, l’on accorde généralement moins de poids aux déclarations établies par les parties intéressées elles-mêmes</w:t>
      </w:r>
      <w:r>
        <w:rPr>
          <w:spacing w:val="40"/>
          <w:sz w:val="24"/>
        </w:rPr>
        <w:t> </w:t>
      </w:r>
      <w:r>
        <w:rPr>
          <w:sz w:val="24"/>
        </w:rPr>
        <w:t>ou par leurs employés, qu’à des éléments de preuve indépendants. Cela est dû au fait que la perception d’une partie prenante au litige pourrait être affectée dans</w:t>
      </w:r>
      <w:r>
        <w:rPr>
          <w:spacing w:val="40"/>
          <w:sz w:val="24"/>
        </w:rPr>
        <w:t> </w:t>
      </w:r>
      <w:r>
        <w:rPr>
          <w:sz w:val="24"/>
        </w:rPr>
        <w:t>une plus ou moins grande mesure par son propre intérêt dans l’affaire. Néanmoins, cela ne signifie pas que la déclaration est dépourvue de toute valeur probante. La conclusion finale dépend de l’appréciation globale des preuves dans chaque cas d’espèce. La valeur probante de ces déclarations dépend de la</w:t>
      </w:r>
      <w:r>
        <w:rPr>
          <w:spacing w:val="80"/>
          <w:sz w:val="24"/>
        </w:rPr>
        <w:t> </w:t>
      </w:r>
      <w:r>
        <w:rPr>
          <w:sz w:val="24"/>
        </w:rPr>
        <w:t>question de savoir si elles sont corroborées ou non par d’autres types d’éléments de preuve (factures, étiquettes, emballages, etc.) ou d’éléments de preuve provenant</w:t>
      </w:r>
      <w:r>
        <w:rPr>
          <w:spacing w:val="27"/>
          <w:sz w:val="24"/>
        </w:rPr>
        <w:t> </w:t>
      </w:r>
      <w:r>
        <w:rPr>
          <w:sz w:val="24"/>
        </w:rPr>
        <w:t>de</w:t>
      </w:r>
      <w:r>
        <w:rPr>
          <w:spacing w:val="25"/>
          <w:sz w:val="24"/>
        </w:rPr>
        <w:t> </w:t>
      </w:r>
      <w:r>
        <w:rPr>
          <w:sz w:val="24"/>
        </w:rPr>
        <w:t>sources</w:t>
      </w:r>
      <w:r>
        <w:rPr>
          <w:spacing w:val="28"/>
          <w:sz w:val="24"/>
        </w:rPr>
        <w:t> </w:t>
      </w:r>
      <w:r>
        <w:rPr>
          <w:sz w:val="24"/>
        </w:rPr>
        <w:t>indépendantes.</w:t>
      </w:r>
      <w:r>
        <w:rPr>
          <w:spacing w:val="28"/>
          <w:sz w:val="24"/>
        </w:rPr>
        <w:t> </w:t>
      </w:r>
      <w:r>
        <w:rPr>
          <w:sz w:val="24"/>
        </w:rPr>
        <w:t>Compte</w:t>
      </w:r>
      <w:r>
        <w:rPr>
          <w:spacing w:val="25"/>
          <w:sz w:val="24"/>
        </w:rPr>
        <w:t> </w:t>
      </w:r>
      <w:r>
        <w:rPr>
          <w:sz w:val="24"/>
        </w:rPr>
        <w:t>tenu</w:t>
      </w:r>
      <w:r>
        <w:rPr>
          <w:spacing w:val="26"/>
          <w:sz w:val="24"/>
        </w:rPr>
        <w:t> </w:t>
      </w:r>
      <w:r>
        <w:rPr>
          <w:sz w:val="24"/>
        </w:rPr>
        <w:t>de</w:t>
      </w:r>
      <w:r>
        <w:rPr>
          <w:spacing w:val="28"/>
          <w:sz w:val="24"/>
        </w:rPr>
        <w:t> </w:t>
      </w:r>
      <w:r>
        <w:rPr>
          <w:sz w:val="24"/>
        </w:rPr>
        <w:t>ce</w:t>
      </w:r>
      <w:r>
        <w:rPr>
          <w:spacing w:val="27"/>
          <w:sz w:val="24"/>
        </w:rPr>
        <w:t> </w:t>
      </w:r>
      <w:r>
        <w:rPr>
          <w:sz w:val="24"/>
        </w:rPr>
        <w:t>qui</w:t>
      </w:r>
      <w:r>
        <w:rPr>
          <w:spacing w:val="27"/>
          <w:sz w:val="24"/>
        </w:rPr>
        <w:t> </w:t>
      </w:r>
      <w:r>
        <w:rPr>
          <w:sz w:val="24"/>
        </w:rPr>
        <w:t>précède,</w:t>
      </w:r>
      <w:r>
        <w:rPr>
          <w:spacing w:val="26"/>
          <w:sz w:val="24"/>
        </w:rPr>
        <w:t> </w:t>
      </w:r>
      <w:r>
        <w:rPr>
          <w:sz w:val="24"/>
        </w:rPr>
        <w:t>les</w:t>
      </w:r>
      <w:r>
        <w:rPr>
          <w:spacing w:val="26"/>
          <w:sz w:val="24"/>
        </w:rPr>
        <w:t> </w:t>
      </w:r>
      <w:r>
        <w:rPr>
          <w:sz w:val="24"/>
        </w:rPr>
        <w:t>autres</w:t>
      </w:r>
    </w:p>
    <w:p>
      <w:pPr>
        <w:pStyle w:val="BodyText"/>
        <w:rPr>
          <w:sz w:val="18"/>
        </w:rPr>
      </w:pPr>
    </w:p>
    <w:p>
      <w:pPr>
        <w:pStyle w:val="BodyText"/>
        <w:rPr>
          <w:sz w:val="18"/>
        </w:rPr>
      </w:pPr>
    </w:p>
    <w:p>
      <w:pPr>
        <w:pStyle w:val="BodyText"/>
        <w:spacing w:before="199"/>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BodyText"/>
        <w:spacing w:before="204"/>
        <w:ind w:left="1298"/>
      </w:pPr>
      <w:r>
        <w:rPr/>
        <mc:AlternateContent>
          <mc:Choice Requires="wps">
            <w:drawing>
              <wp:anchor distT="0" distB="0" distL="0" distR="0" allowOverlap="1" layoutInCell="1" locked="0" behindDoc="0" simplePos="0" relativeHeight="15735296">
                <wp:simplePos x="0" y="0"/>
                <wp:positionH relativeFrom="page">
                  <wp:posOffset>270575</wp:posOffset>
                </wp:positionH>
                <wp:positionV relativeFrom="page">
                  <wp:posOffset>1114363</wp:posOffset>
                </wp:positionV>
                <wp:extent cx="146050" cy="921004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5296" type="#_x0000_t202" id="docshape14"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t>éléments de preuve doivent être appréciés afin de déterminer si le contenu de la</w:t>
      </w:r>
      <w:r>
        <w:rPr>
          <w:spacing w:val="40"/>
        </w:rPr>
        <w:t> </w:t>
      </w:r>
      <w:r>
        <w:rPr/>
        <w:t>déclaration est étayé par les autres éléments de preuve.</w:t>
      </w:r>
    </w:p>
    <w:p>
      <w:pPr>
        <w:pStyle w:val="BodyText"/>
      </w:pPr>
    </w:p>
    <w:p>
      <w:pPr>
        <w:pStyle w:val="ListParagraph"/>
        <w:numPr>
          <w:ilvl w:val="1"/>
          <w:numId w:val="1"/>
        </w:numPr>
        <w:tabs>
          <w:tab w:pos="1296" w:val="left" w:leader="none"/>
          <w:tab w:pos="1298" w:val="left" w:leader="none"/>
        </w:tabs>
        <w:spacing w:line="240" w:lineRule="auto" w:before="0" w:after="0"/>
        <w:ind w:left="1298" w:right="161" w:hanging="567"/>
        <w:jc w:val="both"/>
        <w:rPr>
          <w:sz w:val="24"/>
        </w:rPr>
      </w:pPr>
      <w:r>
        <w:rPr>
          <w:sz w:val="24"/>
        </w:rPr>
        <w:t>Les éléments de preuve doivent démontrer l’usage sérieux de la marque de l’Union européenne contestée au cours de la période pertinente, à savoir du 2</w:t>
      </w:r>
      <w:r>
        <w:rPr>
          <w:spacing w:val="40"/>
          <w:sz w:val="24"/>
        </w:rPr>
        <w:t> </w:t>
      </w:r>
      <w:r>
        <w:rPr>
          <w:sz w:val="24"/>
        </w:rPr>
        <w:t>mars 2018 au 1 mars 2023 inclus. La plupart des éléments de preuve produits, y compris toutes les factures adressées à des clients et présentées en tant</w:t>
      </w:r>
      <w:r>
        <w:rPr>
          <w:spacing w:val="40"/>
          <w:sz w:val="24"/>
        </w:rPr>
        <w:t> </w:t>
      </w:r>
      <w:r>
        <w:rPr>
          <w:sz w:val="24"/>
        </w:rPr>
        <w:t>qu’annexes 2 et 2, ainsi que le bon de livraison et la confirmation de commande dans les pièces 3 et 4, datent de la période pertinente. Une lecture combinée des éléments de preuve non datés (extraits du site web et photographies) et des éléments de preuve datant de la période pertinente, tels que les factures, permet à la division d’annulation d’examiner les éléments de preuve dans leur ensemble et de déterminer les facteurs pertinents de l’usage, en particulier la nature de</w:t>
      </w:r>
      <w:r>
        <w:rPr>
          <w:spacing w:val="40"/>
          <w:sz w:val="24"/>
        </w:rPr>
        <w:t> </w:t>
      </w:r>
      <w:r>
        <w:rPr>
          <w:sz w:val="24"/>
        </w:rPr>
        <w:t>l’usage. Par conséquent, les éléments de preuve indiquent suffisamment la </w:t>
      </w:r>
      <w:r>
        <w:rPr>
          <w:sz w:val="24"/>
          <w:u w:val="single"/>
        </w:rPr>
        <w:t>durée</w:t>
      </w:r>
      <w:r>
        <w:rPr>
          <w:sz w:val="24"/>
        </w:rPr>
        <w:t> </w:t>
      </w:r>
      <w:r>
        <w:rPr>
          <w:sz w:val="24"/>
          <w:u w:val="single"/>
        </w:rPr>
        <w:t>de l’usage</w:t>
      </w:r>
      <w:r>
        <w:rPr>
          <w:sz w:val="24"/>
        </w:rPr>
        <w:t>.</w:t>
      </w:r>
    </w:p>
    <w:p>
      <w:pPr>
        <w:pStyle w:val="ListParagraph"/>
        <w:numPr>
          <w:ilvl w:val="1"/>
          <w:numId w:val="1"/>
        </w:numPr>
        <w:tabs>
          <w:tab w:pos="1296" w:val="left" w:leader="none"/>
          <w:tab w:pos="1298" w:val="left" w:leader="none"/>
        </w:tabs>
        <w:spacing w:line="240" w:lineRule="auto" w:before="275" w:after="0"/>
        <w:ind w:left="1298" w:right="162" w:hanging="567"/>
        <w:jc w:val="both"/>
        <w:rPr>
          <w:sz w:val="24"/>
        </w:rPr>
      </w:pPr>
      <w:r>
        <w:rPr>
          <w:sz w:val="24"/>
        </w:rPr>
        <w:t>Il ressort clairement des éléments de preuve, en particulier des factures, que le</w:t>
      </w:r>
      <w:r>
        <w:rPr>
          <w:spacing w:val="40"/>
          <w:sz w:val="24"/>
        </w:rPr>
        <w:t> </w:t>
      </w:r>
      <w:r>
        <w:rPr>
          <w:sz w:val="24"/>
          <w:u w:val="single"/>
        </w:rPr>
        <w:t>lieu de l’usage</w:t>
      </w:r>
      <w:r>
        <w:rPr>
          <w:sz w:val="24"/>
        </w:rPr>
        <w:t> est essentiellement l’Allemagne, qui est l’un des grands marchés de l’Union européenne. Les clients mentionnés dans les factures ont des adresses dans tout le pays et les factures émises dans des magasins indiquent également qu’il existe</w:t>
      </w:r>
      <w:r>
        <w:rPr>
          <w:spacing w:val="-1"/>
          <w:sz w:val="24"/>
        </w:rPr>
        <w:t> </w:t>
      </w:r>
      <w:r>
        <w:rPr>
          <w:sz w:val="24"/>
        </w:rPr>
        <w:t>des points de</w:t>
      </w:r>
      <w:r>
        <w:rPr>
          <w:spacing w:val="-1"/>
          <w:sz w:val="24"/>
        </w:rPr>
        <w:t> </w:t>
      </w:r>
      <w:r>
        <w:rPr>
          <w:sz w:val="24"/>
        </w:rPr>
        <w:t>vente</w:t>
      </w:r>
      <w:r>
        <w:rPr>
          <w:spacing w:val="-1"/>
          <w:sz w:val="24"/>
        </w:rPr>
        <w:t> </w:t>
      </w:r>
      <w:r>
        <w:rPr>
          <w:sz w:val="24"/>
        </w:rPr>
        <w:t>de la</w:t>
      </w:r>
      <w:r>
        <w:rPr>
          <w:spacing w:val="-1"/>
          <w:sz w:val="24"/>
        </w:rPr>
        <w:t> </w:t>
      </w:r>
      <w:r>
        <w:rPr>
          <w:sz w:val="24"/>
        </w:rPr>
        <w:t>titulaire</w:t>
      </w:r>
      <w:r>
        <w:rPr>
          <w:spacing w:val="-1"/>
          <w:sz w:val="24"/>
        </w:rPr>
        <w:t> </w:t>
      </w:r>
      <w:r>
        <w:rPr>
          <w:sz w:val="24"/>
        </w:rPr>
        <w:t>de</w:t>
      </w:r>
      <w:r>
        <w:rPr>
          <w:spacing w:val="-1"/>
          <w:sz w:val="24"/>
        </w:rPr>
        <w:t> </w:t>
      </w:r>
      <w:r>
        <w:rPr>
          <w:sz w:val="24"/>
        </w:rPr>
        <w:t>la marque</w:t>
      </w:r>
      <w:r>
        <w:rPr>
          <w:spacing w:val="-1"/>
          <w:sz w:val="24"/>
        </w:rPr>
        <w:t> </w:t>
      </w:r>
      <w:r>
        <w:rPr>
          <w:sz w:val="24"/>
        </w:rPr>
        <w:t>de</w:t>
      </w:r>
      <w:r>
        <w:rPr>
          <w:spacing w:val="-1"/>
          <w:sz w:val="24"/>
        </w:rPr>
        <w:t> </w:t>
      </w:r>
      <w:r>
        <w:rPr>
          <w:sz w:val="24"/>
        </w:rPr>
        <w:t>l’Union européenne dans différentes villes ou villes du pays.</w:t>
      </w:r>
    </w:p>
    <w:p>
      <w:pPr>
        <w:pStyle w:val="ListParagraph"/>
        <w:numPr>
          <w:ilvl w:val="1"/>
          <w:numId w:val="1"/>
        </w:numPr>
        <w:tabs>
          <w:tab w:pos="1296" w:val="left" w:leader="none"/>
          <w:tab w:pos="1298" w:val="left" w:leader="none"/>
        </w:tabs>
        <w:spacing w:line="240" w:lineRule="auto" w:before="275" w:after="0"/>
        <w:ind w:left="1298" w:right="161" w:hanging="567"/>
        <w:jc w:val="both"/>
        <w:rPr>
          <w:sz w:val="24"/>
        </w:rPr>
      </w:pPr>
      <w:r>
        <w:rPr>
          <w:sz w:val="24"/>
        </w:rPr>
        <w:t>En ce qui concerne </w:t>
      </w:r>
      <w:r>
        <w:rPr>
          <w:sz w:val="24"/>
          <w:u w:val="single"/>
        </w:rPr>
        <w:t>l’importance de l’usage</w:t>
      </w:r>
      <w:r>
        <w:rPr>
          <w:sz w:val="24"/>
        </w:rPr>
        <w:t>, les éléments de preuve montrent des ventes de produits par la titulaire de la marque de l’Union européenne sur le territoire pertinent. Les documents produits concernent un usage prolongé, à savoir sur plusieurs années, au cours de la période pertinente et prouvent la régularité et la fréquence de l’usage de la marque au cours de cette période. Les factures font référence à la vente de chaussures pour dames, qui ont été vendues régulièrement et continuellement à différents clients. Les quantités de produits portant la marque contestée indiquées sur les factures ne sont pas négligeables et fournissent des informations pertinentes concernant le volume commercial de l’usage de la marque contestée pour ces produits. Les descriptions des produits figurant sur les factures contiennent les indications «WG1» et «WG2», suivies d’indications</w:t>
      </w:r>
      <w:r>
        <w:rPr>
          <w:spacing w:val="-4"/>
          <w:sz w:val="24"/>
        </w:rPr>
        <w:t> </w:t>
      </w:r>
      <w:r>
        <w:rPr>
          <w:sz w:val="24"/>
        </w:rPr>
        <w:t>descriptives.</w:t>
      </w:r>
      <w:r>
        <w:rPr>
          <w:spacing w:val="-3"/>
          <w:sz w:val="24"/>
        </w:rPr>
        <w:t> </w:t>
      </w:r>
      <w:r>
        <w:rPr>
          <w:sz w:val="24"/>
        </w:rPr>
        <w:t>On</w:t>
      </w:r>
      <w:r>
        <w:rPr>
          <w:spacing w:val="-3"/>
          <w:sz w:val="24"/>
        </w:rPr>
        <w:t> </w:t>
      </w:r>
      <w:r>
        <w:rPr>
          <w:sz w:val="24"/>
        </w:rPr>
        <w:t>peut</w:t>
      </w:r>
      <w:r>
        <w:rPr>
          <w:spacing w:val="-1"/>
          <w:sz w:val="24"/>
        </w:rPr>
        <w:t> </w:t>
      </w:r>
      <w:r>
        <w:rPr>
          <w:sz w:val="24"/>
        </w:rPr>
        <w:t>aisément</w:t>
      </w:r>
      <w:r>
        <w:rPr>
          <w:spacing w:val="-3"/>
          <w:sz w:val="24"/>
        </w:rPr>
        <w:t> </w:t>
      </w:r>
      <w:r>
        <w:rPr>
          <w:sz w:val="24"/>
        </w:rPr>
        <w:t>voir que</w:t>
      </w:r>
      <w:r>
        <w:rPr>
          <w:spacing w:val="-4"/>
          <w:sz w:val="24"/>
        </w:rPr>
        <w:t> </w:t>
      </w:r>
      <w:r>
        <w:rPr>
          <w:sz w:val="24"/>
        </w:rPr>
        <w:t>les</w:t>
      </w:r>
      <w:r>
        <w:rPr>
          <w:spacing w:val="-4"/>
          <w:sz w:val="24"/>
        </w:rPr>
        <w:t> </w:t>
      </w:r>
      <w:r>
        <w:rPr>
          <w:sz w:val="24"/>
        </w:rPr>
        <w:t>descriptions</w:t>
      </w:r>
      <w:r>
        <w:rPr>
          <w:spacing w:val="-4"/>
          <w:sz w:val="24"/>
        </w:rPr>
        <w:t> </w:t>
      </w:r>
      <w:r>
        <w:rPr>
          <w:sz w:val="24"/>
        </w:rPr>
        <w:t>des</w:t>
      </w:r>
      <w:r>
        <w:rPr>
          <w:spacing w:val="-4"/>
          <w:sz w:val="24"/>
        </w:rPr>
        <w:t> </w:t>
      </w:r>
      <w:r>
        <w:rPr>
          <w:sz w:val="24"/>
        </w:rPr>
        <w:t>produits figurant sur les factures, les extraits de sites internet et les photographies ont la même structure et qu’un grand nombre d’entre elles correspondent les unes aux </w:t>
      </w:r>
      <w:r>
        <w:rPr>
          <w:spacing w:val="-2"/>
          <w:sz w:val="24"/>
        </w:rPr>
        <w:t>autres.</w:t>
      </w:r>
    </w:p>
    <w:p>
      <w:pPr>
        <w:pStyle w:val="BodyText"/>
        <w:spacing w:before="1"/>
      </w:pPr>
    </w:p>
    <w:p>
      <w:pPr>
        <w:pStyle w:val="BodyText"/>
        <w:ind w:left="1298"/>
      </w:pPr>
      <w:r>
        <w:rPr>
          <w:u w:val="single"/>
        </w:rPr>
        <w:t>Nature</w:t>
      </w:r>
      <w:r>
        <w:rPr>
          <w:spacing w:val="-3"/>
          <w:u w:val="single"/>
        </w:rPr>
        <w:t> </w:t>
      </w:r>
      <w:r>
        <w:rPr>
          <w:u w:val="single"/>
        </w:rPr>
        <w:t>de</w:t>
      </w:r>
      <w:r>
        <w:rPr>
          <w:spacing w:val="-2"/>
          <w:u w:val="single"/>
        </w:rPr>
        <w:t> </w:t>
      </w:r>
      <w:r>
        <w:rPr>
          <w:u w:val="single"/>
        </w:rPr>
        <w:t>l’usage: usage en tant</w:t>
      </w:r>
      <w:r>
        <w:rPr>
          <w:spacing w:val="-1"/>
          <w:u w:val="single"/>
        </w:rPr>
        <w:t> </w:t>
      </w:r>
      <w:r>
        <w:rPr>
          <w:u w:val="single"/>
        </w:rPr>
        <w:t>que</w:t>
      </w:r>
      <w:r>
        <w:rPr>
          <w:spacing w:val="-1"/>
          <w:u w:val="single"/>
        </w:rPr>
        <w:t> </w:t>
      </w:r>
      <w:r>
        <w:rPr>
          <w:spacing w:val="-2"/>
          <w:u w:val="single"/>
        </w:rPr>
        <w:t>marque</w:t>
      </w:r>
    </w:p>
    <w:p>
      <w:pPr>
        <w:pStyle w:val="ListParagraph"/>
        <w:numPr>
          <w:ilvl w:val="1"/>
          <w:numId w:val="1"/>
        </w:numPr>
        <w:tabs>
          <w:tab w:pos="1296" w:val="left" w:leader="none"/>
          <w:tab w:pos="1298" w:val="left" w:leader="none"/>
        </w:tabs>
        <w:spacing w:line="240" w:lineRule="auto" w:before="275" w:after="0"/>
        <w:ind w:left="1298" w:right="163" w:hanging="567"/>
        <w:jc w:val="both"/>
        <w:rPr>
          <w:sz w:val="24"/>
        </w:rPr>
      </w:pPr>
      <w:r>
        <w:rPr>
          <w:sz w:val="24"/>
        </w:rPr>
        <w:t>La MUE a été utilisée en tant que marque pour indiquer l’origine commerciale</w:t>
      </w:r>
      <w:r>
        <w:rPr>
          <w:spacing w:val="40"/>
          <w:sz w:val="24"/>
        </w:rPr>
        <w:t> </w:t>
      </w:r>
      <w:r>
        <w:rPr>
          <w:sz w:val="24"/>
        </w:rPr>
        <w:t>des produits. Les éléments de preuve qu’elle a produits montrent que le signe contesté</w:t>
      </w:r>
      <w:r>
        <w:rPr>
          <w:spacing w:val="-1"/>
          <w:sz w:val="24"/>
        </w:rPr>
        <w:t> </w:t>
      </w:r>
      <w:r>
        <w:rPr>
          <w:sz w:val="24"/>
        </w:rPr>
        <w:t>a été utilisé</w:t>
      </w:r>
      <w:r>
        <w:rPr>
          <w:spacing w:val="-1"/>
          <w:sz w:val="24"/>
        </w:rPr>
        <w:t> </w:t>
      </w:r>
      <w:r>
        <w:rPr>
          <w:sz w:val="24"/>
        </w:rPr>
        <w:t>directement sur</w:t>
      </w:r>
      <w:r>
        <w:rPr>
          <w:spacing w:val="-1"/>
          <w:sz w:val="24"/>
        </w:rPr>
        <w:t> </w:t>
      </w:r>
      <w:r>
        <w:rPr>
          <w:sz w:val="24"/>
        </w:rPr>
        <w:t>les produits et leur emballage, ainsi que</w:t>
      </w:r>
      <w:r>
        <w:rPr>
          <w:spacing w:val="-1"/>
          <w:sz w:val="24"/>
        </w:rPr>
        <w:t> </w:t>
      </w:r>
      <w:r>
        <w:rPr>
          <w:sz w:val="24"/>
        </w:rPr>
        <w:t>dans les références aux produits figurant sur le site web de la titulaire de la marque de l’Union européenne. Comme expliqué précédemment, ces produits peuvent être reliés aux mêmes produits mentionnés dans les factures. Par conséquent, il existe un lien suffisant pour prouver que les produits concernés sont fournis sous la marque contestée.</w:t>
      </w:r>
    </w:p>
    <w:p>
      <w:pPr>
        <w:pStyle w:val="BodyText"/>
        <w:rPr>
          <w:sz w:val="18"/>
        </w:rPr>
      </w:pPr>
    </w:p>
    <w:p>
      <w:pPr>
        <w:pStyle w:val="BodyText"/>
        <w:rPr>
          <w:sz w:val="18"/>
        </w:rPr>
      </w:pPr>
    </w:p>
    <w:p>
      <w:pPr>
        <w:pStyle w:val="BodyText"/>
        <w:spacing w:before="141"/>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BodyText"/>
        <w:spacing w:before="204"/>
        <w:ind w:left="1298"/>
      </w:pPr>
      <w:r>
        <w:rPr/>
        <mc:AlternateContent>
          <mc:Choice Requires="wps">
            <w:drawing>
              <wp:anchor distT="0" distB="0" distL="0" distR="0" allowOverlap="1" layoutInCell="1" locked="0" behindDoc="0" simplePos="0" relativeHeight="15735808">
                <wp:simplePos x="0" y="0"/>
                <wp:positionH relativeFrom="page">
                  <wp:posOffset>270575</wp:posOffset>
                </wp:positionH>
                <wp:positionV relativeFrom="page">
                  <wp:posOffset>1114363</wp:posOffset>
                </wp:positionV>
                <wp:extent cx="146050" cy="921004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5808" type="#_x0000_t202" id="docshape1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u w:val="single"/>
        </w:rPr>
        <w:t>Nature</w:t>
      </w:r>
      <w:r>
        <w:rPr>
          <w:spacing w:val="-5"/>
          <w:u w:val="single"/>
        </w:rPr>
        <w:t> </w:t>
      </w:r>
      <w:r>
        <w:rPr>
          <w:u w:val="single"/>
        </w:rPr>
        <w:t>de</w:t>
      </w:r>
      <w:r>
        <w:rPr>
          <w:spacing w:val="-1"/>
          <w:u w:val="single"/>
        </w:rPr>
        <w:t> </w:t>
      </w:r>
      <w:r>
        <w:rPr>
          <w:u w:val="single"/>
        </w:rPr>
        <w:t>l’usage:</w:t>
      </w:r>
      <w:r>
        <w:rPr>
          <w:spacing w:val="-1"/>
          <w:u w:val="single"/>
        </w:rPr>
        <w:t> </w:t>
      </w:r>
      <w:r>
        <w:rPr>
          <w:u w:val="single"/>
        </w:rPr>
        <w:t>usage</w:t>
      </w:r>
      <w:r>
        <w:rPr>
          <w:spacing w:val="1"/>
          <w:u w:val="single"/>
        </w:rPr>
        <w:t> </w:t>
      </w:r>
      <w:r>
        <w:rPr>
          <w:u w:val="single"/>
        </w:rPr>
        <w:t>de</w:t>
      </w:r>
      <w:r>
        <w:rPr>
          <w:spacing w:val="-1"/>
          <w:u w:val="single"/>
        </w:rPr>
        <w:t> </w:t>
      </w:r>
      <w:r>
        <w:rPr>
          <w:u w:val="single"/>
        </w:rPr>
        <w:t>la</w:t>
      </w:r>
      <w:r>
        <w:rPr>
          <w:spacing w:val="-1"/>
          <w:u w:val="single"/>
        </w:rPr>
        <w:t> </w:t>
      </w:r>
      <w:r>
        <w:rPr>
          <w:u w:val="single"/>
        </w:rPr>
        <w:t>marque</w:t>
      </w:r>
      <w:r>
        <w:rPr>
          <w:spacing w:val="-2"/>
          <w:u w:val="single"/>
        </w:rPr>
        <w:t> </w:t>
      </w:r>
      <w:r>
        <w:rPr>
          <w:u w:val="single"/>
        </w:rPr>
        <w:t>telle</w:t>
      </w:r>
      <w:r>
        <w:rPr>
          <w:spacing w:val="-1"/>
          <w:u w:val="single"/>
        </w:rPr>
        <w:t> </w:t>
      </w:r>
      <w:r>
        <w:rPr>
          <w:spacing w:val="-2"/>
          <w:u w:val="single"/>
        </w:rPr>
        <w:t>qu’enregistrée</w:t>
      </w:r>
    </w:p>
    <w:p>
      <w:pPr>
        <w:pStyle w:val="BodyText"/>
      </w:pPr>
    </w:p>
    <w:p>
      <w:pPr>
        <w:pStyle w:val="ListParagraph"/>
        <w:numPr>
          <w:ilvl w:val="1"/>
          <w:numId w:val="1"/>
        </w:numPr>
        <w:tabs>
          <w:tab w:pos="1296" w:val="left" w:leader="none"/>
          <w:tab w:pos="1298" w:val="left" w:leader="none"/>
        </w:tabs>
        <w:spacing w:line="240" w:lineRule="auto" w:before="0" w:after="0"/>
        <w:ind w:left="1298" w:right="160" w:hanging="567"/>
        <w:jc w:val="both"/>
        <w:rPr>
          <w:sz w:val="24"/>
        </w:rPr>
      </w:pPr>
      <w:r>
        <w:rPr>
          <w:sz w:val="24"/>
        </w:rPr>
        <w:t>La</w:t>
      </w:r>
      <w:r>
        <w:rPr>
          <w:spacing w:val="-1"/>
          <w:sz w:val="24"/>
        </w:rPr>
        <w:t> </w:t>
      </w:r>
      <w:r>
        <w:rPr>
          <w:sz w:val="24"/>
        </w:rPr>
        <w:t>MUE enregistrée</w:t>
      </w:r>
      <w:r>
        <w:rPr>
          <w:spacing w:val="-1"/>
          <w:sz w:val="24"/>
        </w:rPr>
        <w:t> </w:t>
      </w:r>
      <w:r>
        <w:rPr>
          <w:sz w:val="24"/>
        </w:rPr>
        <w:t>est</w:t>
      </w:r>
      <w:r>
        <w:rPr>
          <w:spacing w:val="-2"/>
          <w:sz w:val="24"/>
        </w:rPr>
        <w:t> </w:t>
      </w:r>
      <w:r>
        <w:rPr>
          <w:sz w:val="24"/>
        </w:rPr>
        <w:t>la</w:t>
      </w:r>
      <w:r>
        <w:rPr>
          <w:spacing w:val="-3"/>
          <w:sz w:val="24"/>
        </w:rPr>
        <w:t> </w:t>
      </w:r>
      <w:r>
        <w:rPr>
          <w:sz w:val="24"/>
        </w:rPr>
        <w:t>marque</w:t>
      </w:r>
      <w:r>
        <w:rPr>
          <w:spacing w:val="-3"/>
          <w:sz w:val="24"/>
        </w:rPr>
        <w:t> </w:t>
      </w:r>
      <w:r>
        <w:rPr>
          <w:sz w:val="24"/>
        </w:rPr>
        <w:t>verbale «WONDERGIRL». Les</w:t>
      </w:r>
      <w:r>
        <w:rPr>
          <w:spacing w:val="-2"/>
          <w:sz w:val="24"/>
        </w:rPr>
        <w:t> </w:t>
      </w:r>
      <w:r>
        <w:rPr>
          <w:sz w:val="24"/>
        </w:rPr>
        <w:t>photographies et les extraits de sites web montrent le mot «WONDERGIRL» en tant que tel ou de manière légèrement stylisée en couleur (par exemple, sur les produits). L’utilisation</w:t>
      </w:r>
      <w:r>
        <w:rPr>
          <w:spacing w:val="-1"/>
          <w:sz w:val="24"/>
        </w:rPr>
        <w:t> </w:t>
      </w:r>
      <w:r>
        <w:rPr>
          <w:sz w:val="24"/>
        </w:rPr>
        <w:t>de</w:t>
      </w:r>
      <w:r>
        <w:rPr>
          <w:spacing w:val="-2"/>
          <w:sz w:val="24"/>
        </w:rPr>
        <w:t> </w:t>
      </w:r>
      <w:r>
        <w:rPr>
          <w:sz w:val="24"/>
        </w:rPr>
        <w:t>l’élément verbal</w:t>
      </w:r>
      <w:r>
        <w:rPr>
          <w:spacing w:val="-1"/>
          <w:sz w:val="24"/>
        </w:rPr>
        <w:t> </w:t>
      </w:r>
      <w:r>
        <w:rPr>
          <w:sz w:val="24"/>
        </w:rPr>
        <w:t>dans</w:t>
      </w:r>
      <w:r>
        <w:rPr>
          <w:spacing w:val="-1"/>
          <w:sz w:val="24"/>
        </w:rPr>
        <w:t> </w:t>
      </w:r>
      <w:r>
        <w:rPr>
          <w:sz w:val="24"/>
        </w:rPr>
        <w:t>une police</w:t>
      </w:r>
      <w:r>
        <w:rPr>
          <w:spacing w:val="-2"/>
          <w:sz w:val="24"/>
        </w:rPr>
        <w:t> </w:t>
      </w:r>
      <w:r>
        <w:rPr>
          <w:sz w:val="24"/>
        </w:rPr>
        <w:t>de</w:t>
      </w:r>
      <w:r>
        <w:rPr>
          <w:spacing w:val="-2"/>
          <w:sz w:val="24"/>
        </w:rPr>
        <w:t> </w:t>
      </w:r>
      <w:r>
        <w:rPr>
          <w:sz w:val="24"/>
        </w:rPr>
        <w:t>caractères légèrement</w:t>
      </w:r>
      <w:r>
        <w:rPr>
          <w:spacing w:val="-1"/>
          <w:sz w:val="24"/>
        </w:rPr>
        <w:t> </w:t>
      </w:r>
      <w:r>
        <w:rPr>
          <w:sz w:val="24"/>
        </w:rPr>
        <w:t>stylisée est, dans certains cas, un moyen graphique ordinaire pour attirer l’attention du public et n’affecte pas substantiellement le caractère distinctif de la marque verbale contestée. Les signes tels qu’ils sont utilisés et tels qu’ils ont été enregistrés peuvent être considérés comme globalement équivalents.</w:t>
      </w:r>
    </w:p>
    <w:p>
      <w:pPr>
        <w:pStyle w:val="BodyText"/>
        <w:spacing w:before="275"/>
        <w:ind w:left="1298"/>
      </w:pPr>
      <w:r>
        <w:rPr>
          <w:u w:val="single"/>
        </w:rPr>
        <w:t>Usage</w:t>
      </w:r>
      <w:r>
        <w:rPr>
          <w:spacing w:val="-4"/>
          <w:u w:val="single"/>
        </w:rPr>
        <w:t> </w:t>
      </w:r>
      <w:r>
        <w:rPr>
          <w:u w:val="single"/>
        </w:rPr>
        <w:t>pour</w:t>
      </w:r>
      <w:r>
        <w:rPr>
          <w:spacing w:val="-2"/>
          <w:u w:val="single"/>
        </w:rPr>
        <w:t> </w:t>
      </w:r>
      <w:r>
        <w:rPr>
          <w:u w:val="single"/>
        </w:rPr>
        <w:t>les produits</w:t>
      </w:r>
      <w:r>
        <w:rPr>
          <w:spacing w:val="-1"/>
          <w:u w:val="single"/>
        </w:rPr>
        <w:t> </w:t>
      </w:r>
      <w:r>
        <w:rPr>
          <w:u w:val="single"/>
        </w:rPr>
        <w:t>et</w:t>
      </w:r>
      <w:r>
        <w:rPr>
          <w:spacing w:val="-1"/>
          <w:u w:val="single"/>
        </w:rPr>
        <w:t> </w:t>
      </w:r>
      <w:r>
        <w:rPr>
          <w:u w:val="single"/>
        </w:rPr>
        <w:t>services pour</w:t>
      </w:r>
      <w:r>
        <w:rPr>
          <w:spacing w:val="-1"/>
          <w:u w:val="single"/>
        </w:rPr>
        <w:t> </w:t>
      </w:r>
      <w:r>
        <w:rPr>
          <w:u w:val="single"/>
        </w:rPr>
        <w:t>lesquels</w:t>
      </w:r>
      <w:r>
        <w:rPr>
          <w:spacing w:val="-1"/>
          <w:u w:val="single"/>
        </w:rPr>
        <w:t> </w:t>
      </w:r>
      <w:r>
        <w:rPr>
          <w:u w:val="single"/>
        </w:rPr>
        <w:t>la</w:t>
      </w:r>
      <w:r>
        <w:rPr>
          <w:spacing w:val="-1"/>
          <w:u w:val="single"/>
        </w:rPr>
        <w:t> </w:t>
      </w:r>
      <w:r>
        <w:rPr>
          <w:u w:val="single"/>
        </w:rPr>
        <w:t>marque est </w:t>
      </w:r>
      <w:r>
        <w:rPr>
          <w:spacing w:val="-2"/>
          <w:u w:val="single"/>
        </w:rPr>
        <w:t>enregistrée</w:t>
      </w:r>
    </w:p>
    <w:p>
      <w:pPr>
        <w:pStyle w:val="BodyText"/>
      </w:pPr>
    </w:p>
    <w:p>
      <w:pPr>
        <w:pStyle w:val="ListParagraph"/>
        <w:numPr>
          <w:ilvl w:val="1"/>
          <w:numId w:val="1"/>
        </w:numPr>
        <w:tabs>
          <w:tab w:pos="1296" w:val="left" w:leader="none"/>
          <w:tab w:pos="1298" w:val="left" w:leader="none"/>
        </w:tabs>
        <w:spacing w:line="240" w:lineRule="auto" w:before="0" w:after="0"/>
        <w:ind w:left="1298" w:right="160" w:hanging="567"/>
        <w:jc w:val="both"/>
        <w:rPr>
          <w:sz w:val="24"/>
        </w:rPr>
      </w:pPr>
      <w:r>
        <w:rPr>
          <w:sz w:val="24"/>
        </w:rPr>
        <w:t>Les éléments de preuve produits par la titulaire de la MUE ne démontrent pas un usage</w:t>
      </w:r>
      <w:r>
        <w:rPr>
          <w:spacing w:val="-1"/>
          <w:sz w:val="24"/>
        </w:rPr>
        <w:t> </w:t>
      </w:r>
      <w:r>
        <w:rPr>
          <w:sz w:val="24"/>
        </w:rPr>
        <w:t>sérieux de</w:t>
      </w:r>
      <w:r>
        <w:rPr>
          <w:spacing w:val="-1"/>
          <w:sz w:val="24"/>
        </w:rPr>
        <w:t> </w:t>
      </w:r>
      <w:r>
        <w:rPr>
          <w:sz w:val="24"/>
        </w:rPr>
        <w:t>la</w:t>
      </w:r>
      <w:r>
        <w:rPr>
          <w:spacing w:val="-1"/>
          <w:sz w:val="24"/>
        </w:rPr>
        <w:t> </w:t>
      </w:r>
      <w:r>
        <w:rPr>
          <w:sz w:val="24"/>
        </w:rPr>
        <w:t>marque</w:t>
      </w:r>
      <w:r>
        <w:rPr>
          <w:spacing w:val="-1"/>
          <w:sz w:val="24"/>
        </w:rPr>
        <w:t> </w:t>
      </w:r>
      <w:r>
        <w:rPr>
          <w:sz w:val="24"/>
        </w:rPr>
        <w:t>pour</w:t>
      </w:r>
      <w:r>
        <w:rPr>
          <w:spacing w:val="-1"/>
          <w:sz w:val="24"/>
        </w:rPr>
        <w:t> </w:t>
      </w:r>
      <w:r>
        <w:rPr>
          <w:sz w:val="24"/>
        </w:rPr>
        <w:t>tous les</w:t>
      </w:r>
      <w:r>
        <w:rPr>
          <w:spacing w:val="-1"/>
          <w:sz w:val="24"/>
        </w:rPr>
        <w:t> </w:t>
      </w:r>
      <w:r>
        <w:rPr>
          <w:sz w:val="24"/>
        </w:rPr>
        <w:t>produits et services pour</w:t>
      </w:r>
      <w:r>
        <w:rPr>
          <w:spacing w:val="-1"/>
          <w:sz w:val="24"/>
        </w:rPr>
        <w:t> </w:t>
      </w:r>
      <w:r>
        <w:rPr>
          <w:sz w:val="24"/>
        </w:rPr>
        <w:t>lesquels elle</w:t>
      </w:r>
      <w:r>
        <w:rPr>
          <w:spacing w:val="-1"/>
          <w:sz w:val="24"/>
        </w:rPr>
        <w:t> </w:t>
      </w:r>
      <w:r>
        <w:rPr>
          <w:sz w:val="24"/>
        </w:rPr>
        <w:t>est enregistrée. La marque de l’Union européenne contestée est enregistrée pour, entre autres, des </w:t>
      </w:r>
      <w:r>
        <w:rPr>
          <w:i/>
          <w:sz w:val="24"/>
        </w:rPr>
        <w:t>chaussures comprises </w:t>
      </w:r>
      <w:r>
        <w:rPr>
          <w:sz w:val="24"/>
        </w:rPr>
        <w:t>dans la classe 25. Cette catégorie de produits est suffisamment large pour que plusieurs sous-catégories puissent être identifiées en son sein. Les éléments de preuve démontrent l’usage pour des chaussures pour femmes qui sont incluses dans la catégorie des chaussures. L’usage pour ces produits relève de la catégorie générale des </w:t>
      </w:r>
      <w:r>
        <w:rPr>
          <w:i/>
          <w:sz w:val="24"/>
        </w:rPr>
        <w:t>chaussures </w:t>
      </w:r>
      <w:r>
        <w:rPr>
          <w:sz w:val="24"/>
        </w:rPr>
        <w:t>et constitue un usage pour la sous-catégorie </w:t>
      </w:r>
      <w:r>
        <w:rPr>
          <w:i/>
          <w:sz w:val="24"/>
        </w:rPr>
        <w:t>des chaussures pour femmes</w:t>
      </w:r>
      <w:r>
        <w:rPr>
          <w:sz w:val="24"/>
        </w:rPr>
        <w:t>, conformément à la décision «PELLICO» &amp;bra; 15/06/2018, R 2595/2015-G, PELLICO (fig.) &amp;ket; de la grande chambre de recours. Les éléments de preuve ne démontrent l’usage pour aucun des produits et services restants pour lesquels</w:t>
      </w:r>
      <w:r>
        <w:rPr>
          <w:spacing w:val="40"/>
          <w:sz w:val="24"/>
        </w:rPr>
        <w:t> </w:t>
      </w:r>
      <w:r>
        <w:rPr>
          <w:sz w:val="24"/>
        </w:rPr>
        <w:t>la marque de l’Union européenne contestée est enregistrée dans les classes 18, 25 et 35.</w:t>
      </w:r>
    </w:p>
    <w:p>
      <w:pPr>
        <w:pStyle w:val="BodyText"/>
      </w:pPr>
    </w:p>
    <w:p>
      <w:pPr>
        <w:pStyle w:val="ListParagraph"/>
        <w:numPr>
          <w:ilvl w:val="1"/>
          <w:numId w:val="1"/>
        </w:numPr>
        <w:tabs>
          <w:tab w:pos="1296" w:val="left" w:leader="none"/>
          <w:tab w:pos="1298" w:val="left" w:leader="none"/>
        </w:tabs>
        <w:spacing w:line="240" w:lineRule="auto" w:before="0" w:after="0"/>
        <w:ind w:left="1298" w:right="164" w:hanging="567"/>
        <w:jc w:val="both"/>
        <w:rPr>
          <w:sz w:val="24"/>
        </w:rPr>
      </w:pPr>
      <w:r>
        <w:rPr>
          <w:sz w:val="24"/>
        </w:rPr>
        <w:t>En ce qui concerne les services compris dans la classe 35, en particulier, les éléments de preuve produits semblent se référer uniquement aux produits proposés à la vente par la titulaire de la marque de l’Union européenne dans ses propres magasins et sur son site internet. Il n’y</w:t>
      </w:r>
      <w:r>
        <w:rPr>
          <w:spacing w:val="-4"/>
          <w:sz w:val="24"/>
        </w:rPr>
        <w:t> </w:t>
      </w:r>
      <w:r>
        <w:rPr>
          <w:sz w:val="24"/>
        </w:rPr>
        <w:t>a pas d’usage pour des services de vente au détail dans lesquels le fabricant vend simplement ses propres produits à partir de sa boutique ou de son site web.</w:t>
      </w:r>
    </w:p>
    <w:p>
      <w:pPr>
        <w:pStyle w:val="ListParagraph"/>
        <w:numPr>
          <w:ilvl w:val="1"/>
          <w:numId w:val="1"/>
        </w:numPr>
        <w:tabs>
          <w:tab w:pos="1296" w:val="left" w:leader="none"/>
          <w:tab w:pos="1298" w:val="left" w:leader="none"/>
        </w:tabs>
        <w:spacing w:line="240" w:lineRule="auto" w:before="275" w:after="0"/>
        <w:ind w:left="1298" w:right="160" w:hanging="567"/>
        <w:jc w:val="both"/>
        <w:rPr>
          <w:sz w:val="24"/>
        </w:rPr>
      </w:pPr>
      <w:r>
        <w:rPr>
          <w:sz w:val="24"/>
        </w:rPr>
        <w:t>Dans l’ensemble, l’usage sérieux de la marque contestée a été démontré à suffisance pour les facteurs pertinents pour certains des produits contestés, à savoir les </w:t>
      </w:r>
      <w:r>
        <w:rPr>
          <w:i/>
          <w:sz w:val="24"/>
        </w:rPr>
        <w:t>chaussures pour femmes comprises </w:t>
      </w:r>
      <w:r>
        <w:rPr>
          <w:sz w:val="24"/>
        </w:rPr>
        <w:t>dans la classe 25. Il existe suffisamment d’indications concernant le lieu, la durée, l’importance et la nature de l’usage pour considérer que l’usage de la marque a été prouvé pour ces produits. Par conséquent, la demande n’est pas accueillie à cet égard. Toutefois,</w:t>
      </w:r>
      <w:r>
        <w:rPr>
          <w:spacing w:val="40"/>
          <w:sz w:val="24"/>
        </w:rPr>
        <w:t> </w:t>
      </w:r>
      <w:r>
        <w:rPr>
          <w:sz w:val="24"/>
        </w:rPr>
        <w:t>la titulaire de la marque de l’Union européenne n’a pas prouvé l’usage sérieux de la marque de l’Union européenne, ni avancé de motif pour le non-usage, pour les produits et services restants, pour lesquels elle doit, par conséquent, être déchue de ses droits.</w:t>
      </w:r>
    </w:p>
    <w:p>
      <w:pPr>
        <w:pStyle w:val="ListParagraph"/>
        <w:numPr>
          <w:ilvl w:val="0"/>
          <w:numId w:val="1"/>
        </w:numPr>
        <w:tabs>
          <w:tab w:pos="731" w:val="left" w:leader="none"/>
        </w:tabs>
        <w:spacing w:line="240" w:lineRule="auto" w:before="120" w:after="0"/>
        <w:ind w:left="731" w:right="165" w:hanging="567"/>
        <w:jc w:val="both"/>
        <w:rPr>
          <w:sz w:val="24"/>
        </w:rPr>
      </w:pPr>
      <w:r>
        <w:rPr>
          <w:sz w:val="24"/>
        </w:rPr>
        <w:t>Le 3 septembre 2024, la titulaire de la marque de l’Union européenne a formé un recours demandant l’annulation de la décision attaquée dans la mesure où elle a accueilli la demande en déchéance.</w:t>
      </w:r>
    </w:p>
    <w:p>
      <w:pPr>
        <w:pStyle w:val="ListParagraph"/>
        <w:numPr>
          <w:ilvl w:val="0"/>
          <w:numId w:val="1"/>
        </w:numPr>
        <w:tabs>
          <w:tab w:pos="731" w:val="left" w:leader="none"/>
        </w:tabs>
        <w:spacing w:line="240" w:lineRule="auto" w:before="240" w:after="0"/>
        <w:ind w:left="731" w:right="0" w:hanging="566"/>
        <w:jc w:val="left"/>
        <w:rPr>
          <w:sz w:val="24"/>
        </w:rPr>
      </w:pPr>
      <w:r>
        <w:rPr>
          <w:sz w:val="24"/>
        </w:rPr>
        <w:t>Le</w:t>
      </w:r>
      <w:r>
        <w:rPr>
          <w:spacing w:val="-2"/>
          <w:sz w:val="24"/>
        </w:rPr>
        <w:t> </w:t>
      </w:r>
      <w:r>
        <w:rPr>
          <w:sz w:val="24"/>
        </w:rPr>
        <w:t>mémoire</w:t>
      </w:r>
      <w:r>
        <w:rPr>
          <w:spacing w:val="-3"/>
          <w:sz w:val="24"/>
        </w:rPr>
        <w:t> </w:t>
      </w:r>
      <w:r>
        <w:rPr>
          <w:sz w:val="24"/>
        </w:rPr>
        <w:t>exposant</w:t>
      </w:r>
      <w:r>
        <w:rPr>
          <w:spacing w:val="-1"/>
          <w:sz w:val="24"/>
        </w:rPr>
        <w:t> </w:t>
      </w:r>
      <w:r>
        <w:rPr>
          <w:sz w:val="24"/>
        </w:rPr>
        <w:t>les</w:t>
      </w:r>
      <w:r>
        <w:rPr>
          <w:spacing w:val="1"/>
          <w:sz w:val="24"/>
        </w:rPr>
        <w:t> </w:t>
      </w:r>
      <w:r>
        <w:rPr>
          <w:sz w:val="24"/>
        </w:rPr>
        <w:t>motifs du</w:t>
      </w:r>
      <w:r>
        <w:rPr>
          <w:spacing w:val="-1"/>
          <w:sz w:val="24"/>
        </w:rPr>
        <w:t> </w:t>
      </w:r>
      <w:r>
        <w:rPr>
          <w:sz w:val="24"/>
        </w:rPr>
        <w:t>recours</w:t>
      </w:r>
      <w:r>
        <w:rPr>
          <w:spacing w:val="-1"/>
          <w:sz w:val="24"/>
        </w:rPr>
        <w:t> </w:t>
      </w:r>
      <w:r>
        <w:rPr>
          <w:sz w:val="24"/>
        </w:rPr>
        <w:t>a</w:t>
      </w:r>
      <w:r>
        <w:rPr>
          <w:spacing w:val="-1"/>
          <w:sz w:val="24"/>
        </w:rPr>
        <w:t> </w:t>
      </w:r>
      <w:r>
        <w:rPr>
          <w:sz w:val="24"/>
        </w:rPr>
        <w:t>été reçu</w:t>
      </w:r>
      <w:r>
        <w:rPr>
          <w:spacing w:val="-1"/>
          <w:sz w:val="24"/>
        </w:rPr>
        <w:t> </w:t>
      </w:r>
      <w:r>
        <w:rPr>
          <w:sz w:val="24"/>
        </w:rPr>
        <w:t>le</w:t>
      </w:r>
      <w:r>
        <w:rPr>
          <w:spacing w:val="-1"/>
          <w:sz w:val="24"/>
        </w:rPr>
        <w:t> </w:t>
      </w:r>
      <w:r>
        <w:rPr>
          <w:sz w:val="24"/>
        </w:rPr>
        <w:t>28</w:t>
      </w:r>
      <w:r>
        <w:rPr>
          <w:spacing w:val="-1"/>
          <w:sz w:val="24"/>
        </w:rPr>
        <w:t> </w:t>
      </w:r>
      <w:r>
        <w:rPr>
          <w:sz w:val="24"/>
        </w:rPr>
        <w:t>octobre</w:t>
      </w:r>
      <w:r>
        <w:rPr>
          <w:spacing w:val="-1"/>
          <w:sz w:val="24"/>
        </w:rPr>
        <w:t> </w:t>
      </w:r>
      <w:r>
        <w:rPr>
          <w:spacing w:val="-2"/>
          <w:sz w:val="24"/>
        </w:rPr>
        <w:t>2024.</w:t>
      </w:r>
    </w:p>
    <w:p>
      <w:pPr>
        <w:pStyle w:val="BodyText"/>
        <w:spacing w:before="195"/>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ListParagraph"/>
        <w:numPr>
          <w:ilvl w:val="0"/>
          <w:numId w:val="1"/>
        </w:numPr>
        <w:tabs>
          <w:tab w:pos="731" w:val="left" w:leader="none"/>
        </w:tabs>
        <w:spacing w:line="240" w:lineRule="auto" w:before="204" w:after="0"/>
        <w:ind w:left="731" w:right="0" w:hanging="566"/>
        <w:jc w:val="left"/>
        <w:rPr>
          <w:sz w:val="24"/>
        </w:rPr>
      </w:pPr>
      <w:r>
        <w:rPr>
          <w:sz w:val="24"/>
        </w:rPr>
        <mc:AlternateContent>
          <mc:Choice Requires="wps">
            <w:drawing>
              <wp:anchor distT="0" distB="0" distL="0" distR="0" allowOverlap="1" layoutInCell="1" locked="0" behindDoc="0" simplePos="0" relativeHeight="15736320">
                <wp:simplePos x="0" y="0"/>
                <wp:positionH relativeFrom="page">
                  <wp:posOffset>270575</wp:posOffset>
                </wp:positionH>
                <wp:positionV relativeFrom="page">
                  <wp:posOffset>1114363</wp:posOffset>
                </wp:positionV>
                <wp:extent cx="146050" cy="921004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6320" type="#_x0000_t202" id="docshape1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4"/>
        </w:rPr>
        <w:t>La</w:t>
      </w:r>
      <w:r>
        <w:rPr>
          <w:spacing w:val="-5"/>
          <w:sz w:val="24"/>
        </w:rPr>
        <w:t> </w:t>
      </w:r>
      <w:r>
        <w:rPr>
          <w:sz w:val="24"/>
        </w:rPr>
        <w:t>demanderesse</w:t>
      </w:r>
      <w:r>
        <w:rPr>
          <w:spacing w:val="-1"/>
          <w:sz w:val="24"/>
        </w:rPr>
        <w:t> </w:t>
      </w:r>
      <w:r>
        <w:rPr>
          <w:sz w:val="24"/>
        </w:rPr>
        <w:t>en</w:t>
      </w:r>
      <w:r>
        <w:rPr>
          <w:spacing w:val="-1"/>
          <w:sz w:val="24"/>
        </w:rPr>
        <w:t> </w:t>
      </w:r>
      <w:r>
        <w:rPr>
          <w:sz w:val="24"/>
        </w:rPr>
        <w:t>nullité</w:t>
      </w:r>
      <w:r>
        <w:rPr>
          <w:spacing w:val="-3"/>
          <w:sz w:val="24"/>
        </w:rPr>
        <w:t> </w:t>
      </w:r>
      <w:r>
        <w:rPr>
          <w:sz w:val="24"/>
        </w:rPr>
        <w:t>n’a</w:t>
      </w:r>
      <w:r>
        <w:rPr>
          <w:spacing w:val="-3"/>
          <w:sz w:val="24"/>
        </w:rPr>
        <w:t> </w:t>
      </w:r>
      <w:r>
        <w:rPr>
          <w:sz w:val="24"/>
        </w:rPr>
        <w:t>pas</w:t>
      </w:r>
      <w:r>
        <w:rPr>
          <w:spacing w:val="-3"/>
          <w:sz w:val="24"/>
        </w:rPr>
        <w:t> </w:t>
      </w:r>
      <w:r>
        <w:rPr>
          <w:sz w:val="24"/>
        </w:rPr>
        <w:t>présenté</w:t>
      </w:r>
      <w:r>
        <w:rPr>
          <w:spacing w:val="-1"/>
          <w:sz w:val="24"/>
        </w:rPr>
        <w:t> </w:t>
      </w:r>
      <w:r>
        <w:rPr>
          <w:sz w:val="24"/>
        </w:rPr>
        <w:t>d’observations</w:t>
      </w:r>
      <w:r>
        <w:rPr>
          <w:spacing w:val="-3"/>
          <w:sz w:val="24"/>
        </w:rPr>
        <w:t> </w:t>
      </w:r>
      <w:r>
        <w:rPr>
          <w:sz w:val="24"/>
        </w:rPr>
        <w:t>en</w:t>
      </w:r>
      <w:r>
        <w:rPr>
          <w:spacing w:val="-1"/>
          <w:sz w:val="24"/>
        </w:rPr>
        <w:t> </w:t>
      </w:r>
      <w:r>
        <w:rPr>
          <w:spacing w:val="-2"/>
          <w:sz w:val="24"/>
        </w:rPr>
        <w:t>réponse.</w:t>
      </w:r>
    </w:p>
    <w:p>
      <w:pPr>
        <w:pStyle w:val="BodyText"/>
        <w:spacing w:before="204"/>
      </w:pPr>
    </w:p>
    <w:p>
      <w:pPr>
        <w:spacing w:before="0"/>
        <w:ind w:left="731" w:right="0" w:firstLine="0"/>
        <w:jc w:val="left"/>
        <w:rPr>
          <w:b/>
          <w:sz w:val="24"/>
        </w:rPr>
      </w:pPr>
      <w:r>
        <w:rPr>
          <w:b/>
          <w:sz w:val="24"/>
        </w:rPr>
        <w:t>Moyens</w:t>
      </w:r>
      <w:r>
        <w:rPr>
          <w:b/>
          <w:spacing w:val="-3"/>
          <w:sz w:val="24"/>
        </w:rPr>
        <w:t> </w:t>
      </w:r>
      <w:r>
        <w:rPr>
          <w:b/>
          <w:sz w:val="24"/>
        </w:rPr>
        <w:t>et</w:t>
      </w:r>
      <w:r>
        <w:rPr>
          <w:b/>
          <w:spacing w:val="-1"/>
          <w:sz w:val="24"/>
        </w:rPr>
        <w:t> </w:t>
      </w:r>
      <w:r>
        <w:rPr>
          <w:b/>
          <w:sz w:val="24"/>
        </w:rPr>
        <w:t>arguments</w:t>
      </w:r>
      <w:r>
        <w:rPr>
          <w:b/>
          <w:spacing w:val="-1"/>
          <w:sz w:val="24"/>
        </w:rPr>
        <w:t> </w:t>
      </w:r>
      <w:r>
        <w:rPr>
          <w:b/>
          <w:sz w:val="24"/>
        </w:rPr>
        <w:t>de</w:t>
      </w:r>
      <w:r>
        <w:rPr>
          <w:b/>
          <w:spacing w:val="-1"/>
          <w:sz w:val="24"/>
        </w:rPr>
        <w:t> </w:t>
      </w:r>
      <w:r>
        <w:rPr>
          <w:b/>
          <w:sz w:val="24"/>
        </w:rPr>
        <w:t>la titulaire</w:t>
      </w:r>
      <w:r>
        <w:rPr>
          <w:b/>
          <w:spacing w:val="-2"/>
          <w:sz w:val="24"/>
        </w:rPr>
        <w:t> </w:t>
      </w:r>
      <w:r>
        <w:rPr>
          <w:b/>
          <w:sz w:val="24"/>
        </w:rPr>
        <w:t>de</w:t>
      </w:r>
      <w:r>
        <w:rPr>
          <w:b/>
          <w:spacing w:val="-2"/>
          <w:sz w:val="24"/>
        </w:rPr>
        <w:t> </w:t>
      </w:r>
      <w:r>
        <w:rPr>
          <w:b/>
          <w:sz w:val="24"/>
        </w:rPr>
        <w:t>la </w:t>
      </w:r>
      <w:r>
        <w:rPr>
          <w:b/>
          <w:spacing w:val="-5"/>
          <w:sz w:val="24"/>
        </w:rPr>
        <w:t>MUE</w:t>
      </w:r>
    </w:p>
    <w:p>
      <w:pPr>
        <w:pStyle w:val="ListParagraph"/>
        <w:numPr>
          <w:ilvl w:val="0"/>
          <w:numId w:val="1"/>
        </w:numPr>
        <w:tabs>
          <w:tab w:pos="731" w:val="left" w:leader="none"/>
        </w:tabs>
        <w:spacing w:line="240" w:lineRule="auto" w:before="240" w:after="0"/>
        <w:ind w:left="731" w:right="162" w:hanging="567"/>
        <w:jc w:val="left"/>
        <w:rPr>
          <w:sz w:val="24"/>
        </w:rPr>
      </w:pPr>
      <w:r>
        <w:rPr>
          <w:sz w:val="24"/>
        </w:rPr>
        <w:t>Les arguments soulevés</w:t>
      </w:r>
      <w:r>
        <w:rPr>
          <w:spacing w:val="25"/>
          <w:sz w:val="24"/>
        </w:rPr>
        <w:t> </w:t>
      </w:r>
      <w:r>
        <w:rPr>
          <w:sz w:val="24"/>
        </w:rPr>
        <w:t>dans le mémoire exposant les motifs du recours peuvent être</w:t>
      </w:r>
      <w:r>
        <w:rPr>
          <w:spacing w:val="80"/>
          <w:sz w:val="24"/>
        </w:rPr>
        <w:t> </w:t>
      </w:r>
      <w:r>
        <w:rPr>
          <w:sz w:val="24"/>
        </w:rPr>
        <w:t>résumés comme suit:</w:t>
      </w:r>
    </w:p>
    <w:p>
      <w:pPr>
        <w:pStyle w:val="ListParagraph"/>
        <w:numPr>
          <w:ilvl w:val="1"/>
          <w:numId w:val="1"/>
        </w:numPr>
        <w:tabs>
          <w:tab w:pos="1296" w:val="left" w:leader="none"/>
          <w:tab w:pos="1298" w:val="left" w:leader="none"/>
        </w:tabs>
        <w:spacing w:line="240" w:lineRule="auto" w:before="240" w:after="0"/>
        <w:ind w:left="1298" w:right="160" w:hanging="567"/>
        <w:jc w:val="both"/>
        <w:rPr>
          <w:sz w:val="24"/>
        </w:rPr>
      </w:pPr>
      <w:r>
        <w:rPr>
          <w:sz w:val="24"/>
        </w:rPr>
        <w:t>La</w:t>
      </w:r>
      <w:r>
        <w:rPr>
          <w:spacing w:val="-1"/>
          <w:sz w:val="24"/>
        </w:rPr>
        <w:t> </w:t>
      </w:r>
      <w:r>
        <w:rPr>
          <w:sz w:val="24"/>
        </w:rPr>
        <w:t>division</w:t>
      </w:r>
      <w:r>
        <w:rPr>
          <w:spacing w:val="-1"/>
          <w:sz w:val="24"/>
        </w:rPr>
        <w:t> </w:t>
      </w:r>
      <w:r>
        <w:rPr>
          <w:sz w:val="24"/>
        </w:rPr>
        <w:t>d’annulation</w:t>
      </w:r>
      <w:r>
        <w:rPr>
          <w:spacing w:val="-1"/>
          <w:sz w:val="24"/>
        </w:rPr>
        <w:t> </w:t>
      </w:r>
      <w:r>
        <w:rPr>
          <w:sz w:val="24"/>
        </w:rPr>
        <w:t>a</w:t>
      </w:r>
      <w:r>
        <w:rPr>
          <w:spacing w:val="-1"/>
          <w:sz w:val="24"/>
        </w:rPr>
        <w:t> </w:t>
      </w:r>
      <w:r>
        <w:rPr>
          <w:sz w:val="24"/>
        </w:rPr>
        <w:t>fondé</w:t>
      </w:r>
      <w:r>
        <w:rPr>
          <w:spacing w:val="-2"/>
          <w:sz w:val="24"/>
        </w:rPr>
        <w:t> </w:t>
      </w:r>
      <w:r>
        <w:rPr>
          <w:sz w:val="24"/>
        </w:rPr>
        <w:t>son</w:t>
      </w:r>
      <w:r>
        <w:rPr>
          <w:spacing w:val="-1"/>
          <w:sz w:val="24"/>
        </w:rPr>
        <w:t> </w:t>
      </w:r>
      <w:r>
        <w:rPr>
          <w:sz w:val="24"/>
        </w:rPr>
        <w:t>appréciation</w:t>
      </w:r>
      <w:r>
        <w:rPr>
          <w:spacing w:val="-1"/>
          <w:sz w:val="24"/>
        </w:rPr>
        <w:t> </w:t>
      </w:r>
      <w:r>
        <w:rPr>
          <w:sz w:val="24"/>
        </w:rPr>
        <w:t>de</w:t>
      </w:r>
      <w:r>
        <w:rPr>
          <w:spacing w:val="-1"/>
          <w:sz w:val="24"/>
        </w:rPr>
        <w:t> </w:t>
      </w:r>
      <w:r>
        <w:rPr>
          <w:sz w:val="24"/>
        </w:rPr>
        <w:t>la «preuve</w:t>
      </w:r>
      <w:r>
        <w:rPr>
          <w:spacing w:val="-1"/>
          <w:sz w:val="24"/>
        </w:rPr>
        <w:t> </w:t>
      </w:r>
      <w:r>
        <w:rPr>
          <w:sz w:val="24"/>
        </w:rPr>
        <w:t>de</w:t>
      </w:r>
      <w:r>
        <w:rPr>
          <w:spacing w:val="-1"/>
          <w:sz w:val="24"/>
        </w:rPr>
        <w:t> </w:t>
      </w:r>
      <w:r>
        <w:rPr>
          <w:sz w:val="24"/>
        </w:rPr>
        <w:t>l’usage»</w:t>
      </w:r>
      <w:r>
        <w:rPr>
          <w:spacing w:val="-3"/>
          <w:sz w:val="24"/>
        </w:rPr>
        <w:t> </w:t>
      </w:r>
      <w:r>
        <w:rPr>
          <w:sz w:val="24"/>
        </w:rPr>
        <w:t>sur</w:t>
      </w:r>
      <w:r>
        <w:rPr>
          <w:spacing w:val="-1"/>
          <w:sz w:val="24"/>
        </w:rPr>
        <w:t> </w:t>
      </w:r>
      <w:r>
        <w:rPr>
          <w:sz w:val="24"/>
        </w:rPr>
        <w:t>la classification de sous-catégories de produits qui ne peuvent plus être constituées aujourd’hui</w:t>
      </w:r>
      <w:r>
        <w:rPr>
          <w:spacing w:val="-3"/>
          <w:sz w:val="24"/>
        </w:rPr>
        <w:t> </w:t>
      </w:r>
      <w:r>
        <w:rPr>
          <w:sz w:val="24"/>
        </w:rPr>
        <w:t>pour</w:t>
      </w:r>
      <w:r>
        <w:rPr>
          <w:spacing w:val="-2"/>
          <w:sz w:val="24"/>
        </w:rPr>
        <w:t> </w:t>
      </w:r>
      <w:r>
        <w:rPr>
          <w:sz w:val="24"/>
        </w:rPr>
        <w:t>des</w:t>
      </w:r>
      <w:r>
        <w:rPr>
          <w:spacing w:val="-4"/>
          <w:sz w:val="24"/>
        </w:rPr>
        <w:t> </w:t>
      </w:r>
      <w:r>
        <w:rPr>
          <w:sz w:val="24"/>
        </w:rPr>
        <w:t>raisons</w:t>
      </w:r>
      <w:r>
        <w:rPr>
          <w:spacing w:val="-4"/>
          <w:sz w:val="24"/>
        </w:rPr>
        <w:t> </w:t>
      </w:r>
      <w:r>
        <w:rPr>
          <w:sz w:val="24"/>
        </w:rPr>
        <w:t>spécifiques,</w:t>
      </w:r>
      <w:r>
        <w:rPr>
          <w:spacing w:val="-1"/>
          <w:sz w:val="24"/>
        </w:rPr>
        <w:t> </w:t>
      </w:r>
      <w:r>
        <w:rPr>
          <w:sz w:val="24"/>
        </w:rPr>
        <w:t>à</w:t>
      </w:r>
      <w:r>
        <w:rPr>
          <w:spacing w:val="-4"/>
          <w:sz w:val="24"/>
        </w:rPr>
        <w:t> </w:t>
      </w:r>
      <w:r>
        <w:rPr>
          <w:sz w:val="24"/>
        </w:rPr>
        <w:t>savoir</w:t>
      </w:r>
      <w:r>
        <w:rPr>
          <w:spacing w:val="-2"/>
          <w:sz w:val="24"/>
        </w:rPr>
        <w:t> </w:t>
      </w:r>
      <w:r>
        <w:rPr>
          <w:sz w:val="24"/>
        </w:rPr>
        <w:t>les</w:t>
      </w:r>
      <w:r>
        <w:rPr>
          <w:spacing w:val="-1"/>
          <w:sz w:val="24"/>
        </w:rPr>
        <w:t> </w:t>
      </w:r>
      <w:r>
        <w:rPr>
          <w:i/>
          <w:sz w:val="24"/>
        </w:rPr>
        <w:t>chaussures</w:t>
      </w:r>
      <w:r>
        <w:rPr>
          <w:i/>
          <w:spacing w:val="-3"/>
          <w:sz w:val="24"/>
        </w:rPr>
        <w:t> </w:t>
      </w:r>
      <w:r>
        <w:rPr>
          <w:i/>
          <w:sz w:val="24"/>
        </w:rPr>
        <w:t>pour</w:t>
      </w:r>
      <w:r>
        <w:rPr>
          <w:i/>
          <w:spacing w:val="-3"/>
          <w:sz w:val="24"/>
        </w:rPr>
        <w:t> </w:t>
      </w:r>
      <w:r>
        <w:rPr>
          <w:i/>
          <w:sz w:val="24"/>
        </w:rPr>
        <w:t>femmes</w:t>
      </w:r>
      <w:r>
        <w:rPr>
          <w:sz w:val="24"/>
        </w:rPr>
        <w:t>.</w:t>
      </w:r>
      <w:r>
        <w:rPr>
          <w:spacing w:val="-3"/>
          <w:sz w:val="24"/>
        </w:rPr>
        <w:t> </w:t>
      </w:r>
      <w:r>
        <w:rPr>
          <w:sz w:val="24"/>
        </w:rPr>
        <w:t>Ce qui a conduit à la révocation d’un grand groupe de produits inacceptables.</w:t>
      </w:r>
    </w:p>
    <w:p>
      <w:pPr>
        <w:pStyle w:val="ListParagraph"/>
        <w:numPr>
          <w:ilvl w:val="1"/>
          <w:numId w:val="1"/>
        </w:numPr>
        <w:tabs>
          <w:tab w:pos="1296" w:val="left" w:leader="none"/>
          <w:tab w:pos="1298" w:val="left" w:leader="none"/>
        </w:tabs>
        <w:spacing w:line="240" w:lineRule="auto" w:before="239" w:after="0"/>
        <w:ind w:left="1298" w:right="163" w:hanging="567"/>
        <w:jc w:val="both"/>
        <w:rPr>
          <w:sz w:val="24"/>
        </w:rPr>
      </w:pPr>
      <w:r>
        <w:rPr>
          <w:sz w:val="24"/>
        </w:rPr>
        <w:t>Rien n’indique sur les factures que les chaussures vendues aux clients sont uniquement des chaussures pour femmes. En outre, rien n’indique dans les autres éléments de preuve de l’usage que les chaussures étaient uniquement destinées aux femmes en tant que clients, que seules les femmes étaient censées les acheter ou que la distribution visait explicitement à vendre les chaussures WONDERGIRL uniquement à la vente au détail de chaussures pour dames.</w:t>
      </w:r>
    </w:p>
    <w:p>
      <w:pPr>
        <w:pStyle w:val="ListParagraph"/>
        <w:numPr>
          <w:ilvl w:val="1"/>
          <w:numId w:val="1"/>
        </w:numPr>
        <w:tabs>
          <w:tab w:pos="1296" w:val="left" w:leader="none"/>
          <w:tab w:pos="1298" w:val="left" w:leader="none"/>
        </w:tabs>
        <w:spacing w:line="240" w:lineRule="auto" w:before="239" w:after="0"/>
        <w:ind w:left="1298" w:right="160" w:hanging="567"/>
        <w:jc w:val="both"/>
        <w:rPr>
          <w:sz w:val="24"/>
        </w:rPr>
      </w:pPr>
      <w:r>
        <w:rPr>
          <w:sz w:val="24"/>
        </w:rPr>
        <w:t>La marque verbale WONDERGIRL, en tant que telle, n’est pas non plus une indication permettant de parvenir à une telle hypothèse. Hormis le fait qu’une wonder-girl n’est pas une wondre (une fille est un enfant et une femme est un adulte), aucune conclusion spéculative ne peut être tirée du libellé d’une marque en ce qui concerne les actes d’usage sérieux qui doivent être prouvés.</w:t>
      </w:r>
    </w:p>
    <w:p>
      <w:pPr>
        <w:pStyle w:val="ListParagraph"/>
        <w:numPr>
          <w:ilvl w:val="1"/>
          <w:numId w:val="1"/>
        </w:numPr>
        <w:tabs>
          <w:tab w:pos="1296" w:val="left" w:leader="none"/>
          <w:tab w:pos="1298" w:val="left" w:leader="none"/>
        </w:tabs>
        <w:spacing w:line="240" w:lineRule="auto" w:before="239" w:after="0"/>
        <w:ind w:left="1298" w:right="165" w:hanging="567"/>
        <w:jc w:val="both"/>
        <w:rPr>
          <w:sz w:val="24"/>
        </w:rPr>
      </w:pPr>
      <w:r>
        <w:rPr>
          <w:sz w:val="24"/>
        </w:rPr>
        <w:t>Près de 20 ans après l’arrêt «ALADIN/ALADDIN», il n’est, dans de nombreux cas, plus possible de différencier les chaussures pour hommes et pour femmes, mais aussi dans le cas de bijoux pour hommes et femmes et de nombreux ou d’autres domaines dans le domaine des articles de mode. Ce qui était indiscutable dans le passé est désormais discutable. Les frontières entre la mode des hommes et celle des femmes deviennent de plus en plus floues et disparaissent de plus en </w:t>
      </w:r>
      <w:r>
        <w:rPr>
          <w:spacing w:val="-2"/>
          <w:sz w:val="24"/>
        </w:rPr>
        <w:t>plus.</w:t>
      </w:r>
    </w:p>
    <w:p>
      <w:pPr>
        <w:pStyle w:val="ListParagraph"/>
        <w:numPr>
          <w:ilvl w:val="1"/>
          <w:numId w:val="1"/>
        </w:numPr>
        <w:tabs>
          <w:tab w:pos="1296" w:val="left" w:leader="none"/>
          <w:tab w:pos="1298" w:val="left" w:leader="none"/>
        </w:tabs>
        <w:spacing w:line="240" w:lineRule="auto" w:before="239" w:after="0"/>
        <w:ind w:left="1298" w:right="163" w:hanging="567"/>
        <w:jc w:val="both"/>
        <w:rPr>
          <w:sz w:val="24"/>
        </w:rPr>
      </w:pPr>
      <w:r>
        <w:rPr>
          <w:sz w:val="24"/>
        </w:rPr>
        <w:t>La mode neutre pour le genre a entretemps une tendance de méga internationale. De plus en plus de fournisseurs d’articles de mode, y compris des chaussures, ne précisent pas délibérément si leurs produits sont destinés, conçus pour être portés par des hommes ou des femmes et/ou destinés à être portés par des hommes ou des femmes. Ils sont délibérément étiquetés comme étant sans fil. Le marché de ces articles connaît une croissance rapide.</w:t>
      </w:r>
    </w:p>
    <w:p>
      <w:pPr>
        <w:pStyle w:val="ListParagraph"/>
        <w:numPr>
          <w:ilvl w:val="1"/>
          <w:numId w:val="1"/>
        </w:numPr>
        <w:tabs>
          <w:tab w:pos="1296" w:val="left" w:leader="none"/>
          <w:tab w:pos="1298" w:val="left" w:leader="none"/>
        </w:tabs>
        <w:spacing w:line="240" w:lineRule="auto" w:before="242" w:after="0"/>
        <w:ind w:left="1298" w:right="162" w:hanging="567"/>
        <w:jc w:val="both"/>
        <w:rPr>
          <w:sz w:val="24"/>
        </w:rPr>
      </w:pPr>
      <w:r>
        <w:rPr>
          <w:sz w:val="24"/>
        </w:rPr>
        <w:t>Cette tendance de mega a pour conséquence que, dans de plus en plus de cas, le public, les consommateurs, ne sont plus en mesure de dire clairement et sans ambiguïté si le produit qu’ils achètent est une chaussure pour hommes ou une chaussure pour femmes, d’autant plus que, dans de nombreux cas, les chaussures ne sont pas explicitement désignées comme des chaussures pour femmes, des chaussures pour hommes ou des chaussures unisexes.</w:t>
      </w:r>
    </w:p>
    <w:p>
      <w:pPr>
        <w:pStyle w:val="ListParagraph"/>
        <w:numPr>
          <w:ilvl w:val="1"/>
          <w:numId w:val="1"/>
        </w:numPr>
        <w:tabs>
          <w:tab w:pos="1296" w:val="left" w:leader="none"/>
          <w:tab w:pos="1298" w:val="left" w:leader="none"/>
        </w:tabs>
        <w:spacing w:line="240" w:lineRule="auto" w:before="239" w:after="0"/>
        <w:ind w:left="1298" w:right="166" w:hanging="567"/>
        <w:jc w:val="both"/>
        <w:rPr>
          <w:sz w:val="24"/>
        </w:rPr>
      </w:pPr>
      <w:r>
        <w:rPr>
          <w:sz w:val="24"/>
        </w:rPr>
        <w:t>La tendance de la «mode sans soudure» est largement induite par des étoiles à pop, telles que Harry Styles, qui est une icône de style connue pour s’habiller de manière prétendument très «féminine». Il porte souvent des colliers de perles que</w:t>
      </w:r>
    </w:p>
    <w:p>
      <w:pPr>
        <w:pStyle w:val="BodyText"/>
        <w:rPr>
          <w:sz w:val="18"/>
        </w:rPr>
      </w:pPr>
    </w:p>
    <w:p>
      <w:pPr>
        <w:pStyle w:val="BodyText"/>
        <w:spacing w:before="102"/>
        <w:rPr>
          <w:sz w:val="18"/>
        </w:rPr>
      </w:pPr>
    </w:p>
    <w:p>
      <w:pPr>
        <w:spacing w:before="1"/>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BodyText"/>
        <w:spacing w:before="204"/>
        <w:ind w:left="1298" w:right="163"/>
        <w:jc w:val="both"/>
      </w:pPr>
      <w:r>
        <w:rPr/>
        <mc:AlternateContent>
          <mc:Choice Requires="wps">
            <w:drawing>
              <wp:anchor distT="0" distB="0" distL="0" distR="0" allowOverlap="1" layoutInCell="1" locked="0" behindDoc="0" simplePos="0" relativeHeight="15736832">
                <wp:simplePos x="0" y="0"/>
                <wp:positionH relativeFrom="page">
                  <wp:posOffset>270575</wp:posOffset>
                </wp:positionH>
                <wp:positionV relativeFrom="page">
                  <wp:posOffset>1114363</wp:posOffset>
                </wp:positionV>
                <wp:extent cx="146050" cy="921004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6832" type="#_x0000_t202" id="docshape1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t>seules les femmes ont utilisé dans le passé. Aujourd’hui, il serait erroné de qualifier ces colliers </w:t>
      </w:r>
      <w:r>
        <w:rPr>
          <w:i/>
        </w:rPr>
        <w:t>de bijoux pour femmes</w:t>
      </w:r>
      <w:r>
        <w:rPr/>
        <w:t>. De nombreux jeunes hommes</w:t>
      </w:r>
      <w:r>
        <w:rPr>
          <w:spacing w:val="40"/>
        </w:rPr>
        <w:t> </w:t>
      </w:r>
      <w:r>
        <w:rPr/>
        <w:t>portent désormais de tels colliers.</w:t>
      </w:r>
    </w:p>
    <w:p>
      <w:pPr>
        <w:pStyle w:val="ListParagraph"/>
        <w:numPr>
          <w:ilvl w:val="1"/>
          <w:numId w:val="1"/>
        </w:numPr>
        <w:tabs>
          <w:tab w:pos="1296" w:val="left" w:leader="none"/>
          <w:tab w:pos="1298" w:val="left" w:leader="none"/>
        </w:tabs>
        <w:spacing w:line="240" w:lineRule="auto" w:before="240" w:after="0"/>
        <w:ind w:left="1298" w:right="163" w:hanging="567"/>
        <w:jc w:val="both"/>
        <w:rPr>
          <w:sz w:val="24"/>
        </w:rPr>
      </w:pPr>
      <w:r>
        <w:rPr>
          <w:sz w:val="24"/>
        </w:rPr>
        <w:t>C’est uniquement la mode qui détermine ce qui est la mode féminine ou masculine et non, par exemple, les examinateurs individuels dans les offices des marques. Cela pourrait aboutir à une catégorisation arbitraire, qui est à juste titre exclue selon l’arrêt «ALADIN/ALADDIN». L’utilisation de sous-catégories par les offices de marques doit suivre le marché, et non l’inverse. Un autre risque qui se présente si ce n’est pas le marché et donc la mode actuelle qui décide des chaussures pour hommes et femmes, mais des personnes individuelles qui ne décident que sur la base de la situation au dossier, sans être au courant de certaines tendances de la mode, est que les traitements sont effectués sur la base de stéréotypes de genre et de clichés.</w:t>
      </w:r>
    </w:p>
    <w:p>
      <w:pPr>
        <w:pStyle w:val="ListParagraph"/>
        <w:numPr>
          <w:ilvl w:val="1"/>
          <w:numId w:val="1"/>
        </w:numPr>
        <w:tabs>
          <w:tab w:pos="1296" w:val="left" w:leader="none"/>
          <w:tab w:pos="1298" w:val="left" w:leader="none"/>
        </w:tabs>
        <w:spacing w:line="240" w:lineRule="auto" w:before="239" w:after="0"/>
        <w:ind w:left="1298" w:right="165" w:hanging="567"/>
        <w:jc w:val="both"/>
        <w:rPr>
          <w:sz w:val="24"/>
        </w:rPr>
      </w:pPr>
      <w:r>
        <w:rPr>
          <w:sz w:val="24"/>
        </w:rPr>
        <w:t>Les préjugés spécifiques au genre continuent de caractériser notre société, ce qui rend l’égalité entre les hommes et les femmes plus difficile. Notre perception et notre compréhension des valeurs sont influencées par les médias et la publicité, par exemple: ils peuvent contribuer à renforcer ou à lutter contre les stéréotypes. Afin d’utiliser la culture et les médias pour promouvoir l’égalité entre les</w:t>
      </w:r>
      <w:r>
        <w:rPr>
          <w:spacing w:val="40"/>
          <w:sz w:val="24"/>
        </w:rPr>
        <w:t> </w:t>
      </w:r>
      <w:r>
        <w:rPr>
          <w:sz w:val="24"/>
        </w:rPr>
        <w:t>hommes et les femmes, la Commission européenne soutient des projets visant à promouvoir l’égalité entre les hommes et les femmes.</w:t>
      </w:r>
    </w:p>
    <w:p>
      <w:pPr>
        <w:pStyle w:val="ListParagraph"/>
        <w:numPr>
          <w:ilvl w:val="1"/>
          <w:numId w:val="1"/>
        </w:numPr>
        <w:tabs>
          <w:tab w:pos="1296" w:val="left" w:leader="none"/>
          <w:tab w:pos="1298" w:val="left" w:leader="none"/>
        </w:tabs>
        <w:spacing w:line="240" w:lineRule="auto" w:before="239" w:after="0"/>
        <w:ind w:left="1298" w:right="165" w:hanging="567"/>
        <w:jc w:val="both"/>
        <w:rPr>
          <w:sz w:val="24"/>
        </w:rPr>
      </w:pPr>
      <w:r>
        <w:rPr>
          <w:sz w:val="24"/>
        </w:rPr>
        <w:t>Afin</w:t>
      </w:r>
      <w:r>
        <w:rPr>
          <w:spacing w:val="-3"/>
          <w:sz w:val="24"/>
        </w:rPr>
        <w:t> </w:t>
      </w:r>
      <w:r>
        <w:rPr>
          <w:sz w:val="24"/>
        </w:rPr>
        <w:t>de</w:t>
      </w:r>
      <w:r>
        <w:rPr>
          <w:spacing w:val="-2"/>
          <w:sz w:val="24"/>
        </w:rPr>
        <w:t> </w:t>
      </w:r>
      <w:r>
        <w:rPr>
          <w:sz w:val="24"/>
        </w:rPr>
        <w:t>définir</w:t>
      </w:r>
      <w:r>
        <w:rPr>
          <w:spacing w:val="-3"/>
          <w:sz w:val="24"/>
        </w:rPr>
        <w:t> </w:t>
      </w:r>
      <w:r>
        <w:rPr>
          <w:sz w:val="24"/>
        </w:rPr>
        <w:t>des</w:t>
      </w:r>
      <w:r>
        <w:rPr>
          <w:spacing w:val="-3"/>
          <w:sz w:val="24"/>
        </w:rPr>
        <w:t> </w:t>
      </w:r>
      <w:r>
        <w:rPr>
          <w:sz w:val="24"/>
        </w:rPr>
        <w:t>sous-catégories</w:t>
      </w:r>
      <w:r>
        <w:rPr>
          <w:spacing w:val="-1"/>
          <w:sz w:val="24"/>
        </w:rPr>
        <w:t> </w:t>
      </w:r>
      <w:r>
        <w:rPr>
          <w:sz w:val="24"/>
        </w:rPr>
        <w:t>adéquates</w:t>
      </w:r>
      <w:r>
        <w:rPr>
          <w:spacing w:val="-4"/>
          <w:sz w:val="24"/>
        </w:rPr>
        <w:t> </w:t>
      </w:r>
      <w:r>
        <w:rPr>
          <w:sz w:val="24"/>
        </w:rPr>
        <w:t>d’indications</w:t>
      </w:r>
      <w:r>
        <w:rPr>
          <w:spacing w:val="-4"/>
          <w:sz w:val="24"/>
        </w:rPr>
        <w:t> </w:t>
      </w:r>
      <w:r>
        <w:rPr>
          <w:sz w:val="24"/>
        </w:rPr>
        <w:t>générales,</w:t>
      </w:r>
      <w:r>
        <w:rPr>
          <w:spacing w:val="-3"/>
          <w:sz w:val="24"/>
        </w:rPr>
        <w:t> </w:t>
      </w:r>
      <w:r>
        <w:rPr>
          <w:sz w:val="24"/>
        </w:rPr>
        <w:t>le</w:t>
      </w:r>
      <w:r>
        <w:rPr>
          <w:spacing w:val="-4"/>
          <w:sz w:val="24"/>
        </w:rPr>
        <w:t> </w:t>
      </w:r>
      <w:r>
        <w:rPr>
          <w:sz w:val="24"/>
        </w:rPr>
        <w:t>critère</w:t>
      </w:r>
      <w:r>
        <w:rPr>
          <w:spacing w:val="-5"/>
          <w:sz w:val="24"/>
        </w:rPr>
        <w:t> </w:t>
      </w:r>
      <w:r>
        <w:rPr>
          <w:sz w:val="24"/>
        </w:rPr>
        <w:t>de la finalité ou de la destination du produit ou du service en cause revêt une importance fondamentale, étant donné que les consommateurs utilisent ce critère avant de procéder à un achat. Si les produits ou les services concernés ont plusieurs finalités, il n’est pas possible de créer, de manière non arbitraire, des sous-catégories distinctes en examinant séparément chacune de ces finalités.</w:t>
      </w:r>
    </w:p>
    <w:p>
      <w:pPr>
        <w:pStyle w:val="BodyText"/>
        <w:spacing w:before="204"/>
      </w:pPr>
    </w:p>
    <w:p>
      <w:pPr>
        <w:spacing w:before="0"/>
        <w:ind w:left="731" w:right="0" w:firstLine="0"/>
        <w:jc w:val="left"/>
        <w:rPr>
          <w:b/>
          <w:sz w:val="24"/>
        </w:rPr>
      </w:pPr>
      <w:r>
        <w:rPr>
          <w:b/>
          <w:spacing w:val="-2"/>
          <w:sz w:val="24"/>
        </w:rPr>
        <w:t>Motifs</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Le recours est conforme aux dispositions des articles 66 et 67 et de l’article 68, paragraphe 1, du RMUE. Il est recevable. Le recours n’est pas fondé.</w:t>
      </w:r>
    </w:p>
    <w:p>
      <w:pPr>
        <w:pStyle w:val="BodyText"/>
        <w:spacing w:before="84"/>
      </w:pPr>
    </w:p>
    <w:p>
      <w:pPr>
        <w:spacing w:before="0"/>
        <w:ind w:left="731" w:right="0" w:firstLine="0"/>
        <w:jc w:val="left"/>
        <w:rPr>
          <w:i/>
          <w:sz w:val="24"/>
        </w:rPr>
      </w:pPr>
      <w:r>
        <w:rPr>
          <w:i/>
          <w:sz w:val="24"/>
        </w:rPr>
        <w:t>Portée</w:t>
      </w:r>
      <w:r>
        <w:rPr>
          <w:i/>
          <w:spacing w:val="-2"/>
          <w:sz w:val="24"/>
        </w:rPr>
        <w:t> </w:t>
      </w:r>
      <w:r>
        <w:rPr>
          <w:i/>
          <w:sz w:val="24"/>
        </w:rPr>
        <w:t>du </w:t>
      </w:r>
      <w:r>
        <w:rPr>
          <w:i/>
          <w:spacing w:val="-2"/>
          <w:sz w:val="24"/>
        </w:rPr>
        <w:t>recours</w:t>
      </w:r>
    </w:p>
    <w:p>
      <w:pPr>
        <w:pStyle w:val="ListParagraph"/>
        <w:numPr>
          <w:ilvl w:val="0"/>
          <w:numId w:val="1"/>
        </w:numPr>
        <w:tabs>
          <w:tab w:pos="731" w:val="left" w:leader="none"/>
        </w:tabs>
        <w:spacing w:line="240" w:lineRule="auto" w:before="240" w:after="0"/>
        <w:ind w:left="731" w:right="169" w:hanging="567"/>
        <w:jc w:val="both"/>
        <w:rPr>
          <w:sz w:val="24"/>
        </w:rPr>
      </w:pPr>
      <w:r>
        <w:rPr>
          <w:sz w:val="24"/>
        </w:rPr>
        <w:t>La division d’annulation a considéré que la marque contestée n’avait pas été utilisée pour d’autres produits que </w:t>
      </w:r>
      <w:r>
        <w:rPr>
          <w:i/>
          <w:sz w:val="24"/>
        </w:rPr>
        <w:t>des chaussures pour femmes</w:t>
      </w:r>
      <w:r>
        <w:rPr>
          <w:sz w:val="24"/>
        </w:rPr>
        <w:t>.</w:t>
      </w:r>
    </w:p>
    <w:p>
      <w:pPr>
        <w:pStyle w:val="ListParagraph"/>
        <w:numPr>
          <w:ilvl w:val="0"/>
          <w:numId w:val="1"/>
        </w:numPr>
        <w:tabs>
          <w:tab w:pos="731" w:val="left" w:leader="none"/>
        </w:tabs>
        <w:spacing w:line="240" w:lineRule="auto" w:before="241" w:after="0"/>
        <w:ind w:left="731" w:right="161" w:hanging="567"/>
        <w:jc w:val="both"/>
        <w:rPr>
          <w:sz w:val="24"/>
        </w:rPr>
      </w:pPr>
      <w:r>
        <w:rPr>
          <w:sz w:val="24"/>
        </w:rPr>
        <w:t>Dans son mémoire exposant les motifs du recours, la titulaire de la MUE affirme que le recours est dirigé contre la décision attaquée «dans la mesure où la demande en déchéance a été accueillie. En conséquence de la décision, la plupart des produits et services de la marque contestée WONDERGIRL ont été révoqués à tort. Dans la</w:t>
      </w:r>
      <w:r>
        <w:rPr>
          <w:spacing w:val="40"/>
          <w:sz w:val="24"/>
        </w:rPr>
        <w:t> </w:t>
      </w:r>
      <w:r>
        <w:rPr>
          <w:sz w:val="24"/>
        </w:rPr>
        <w:t>mesure</w:t>
      </w:r>
      <w:r>
        <w:rPr>
          <w:spacing w:val="80"/>
          <w:sz w:val="24"/>
        </w:rPr>
        <w:t> </w:t>
      </w:r>
      <w:r>
        <w:rPr>
          <w:sz w:val="24"/>
        </w:rPr>
        <w:t>où</w:t>
      </w:r>
      <w:r>
        <w:rPr>
          <w:spacing w:val="80"/>
          <w:sz w:val="24"/>
        </w:rPr>
        <w:t> </w:t>
      </w:r>
      <w:r>
        <w:rPr>
          <w:sz w:val="24"/>
        </w:rPr>
        <w:t>la</w:t>
      </w:r>
      <w:r>
        <w:rPr>
          <w:spacing w:val="80"/>
          <w:sz w:val="24"/>
        </w:rPr>
        <w:t> </w:t>
      </w:r>
      <w:r>
        <w:rPr>
          <w:sz w:val="24"/>
        </w:rPr>
        <w:t>décision</w:t>
      </w:r>
      <w:r>
        <w:rPr>
          <w:spacing w:val="80"/>
          <w:sz w:val="24"/>
        </w:rPr>
        <w:t> </w:t>
      </w:r>
      <w:r>
        <w:rPr>
          <w:sz w:val="24"/>
        </w:rPr>
        <w:t>ne</w:t>
      </w:r>
      <w:r>
        <w:rPr>
          <w:spacing w:val="80"/>
          <w:sz w:val="24"/>
        </w:rPr>
        <w:t> </w:t>
      </w:r>
      <w:r>
        <w:rPr>
          <w:sz w:val="24"/>
        </w:rPr>
        <w:t>concerne</w:t>
      </w:r>
      <w:r>
        <w:rPr>
          <w:spacing w:val="80"/>
          <w:sz w:val="24"/>
        </w:rPr>
        <w:t> </w:t>
      </w:r>
      <w:r>
        <w:rPr>
          <w:sz w:val="24"/>
        </w:rPr>
        <w:t>pas</w:t>
      </w:r>
      <w:r>
        <w:rPr>
          <w:spacing w:val="80"/>
          <w:sz w:val="24"/>
        </w:rPr>
        <w:t> </w:t>
      </w:r>
      <w:r>
        <w:rPr>
          <w:sz w:val="24"/>
        </w:rPr>
        <w:t>l’enregistrement</w:t>
      </w:r>
      <w:r>
        <w:rPr>
          <w:spacing w:val="80"/>
          <w:sz w:val="24"/>
        </w:rPr>
        <w:t> </w:t>
      </w:r>
      <w:r>
        <w:rPr>
          <w:sz w:val="24"/>
        </w:rPr>
        <w:t>du</w:t>
      </w:r>
      <w:r>
        <w:rPr>
          <w:spacing w:val="80"/>
          <w:sz w:val="24"/>
        </w:rPr>
        <w:t> </w:t>
      </w:r>
      <w:r>
        <w:rPr>
          <w:sz w:val="24"/>
        </w:rPr>
        <w:t>groupe</w:t>
      </w:r>
      <w:r>
        <w:rPr>
          <w:spacing w:val="80"/>
          <w:sz w:val="24"/>
        </w:rPr>
        <w:t> </w:t>
      </w:r>
      <w:r>
        <w:rPr>
          <w:sz w:val="24"/>
        </w:rPr>
        <w:t>de</w:t>
      </w:r>
      <w:r>
        <w:rPr>
          <w:spacing w:val="80"/>
          <w:sz w:val="24"/>
        </w:rPr>
        <w:t> </w:t>
      </w:r>
      <w:r>
        <w:rPr>
          <w:sz w:val="24"/>
        </w:rPr>
        <w:t>produits</w:t>
      </w:r>
    </w:p>
    <w:p>
      <w:pPr>
        <w:pStyle w:val="BodyText"/>
        <w:ind w:left="731" w:right="163"/>
        <w:jc w:val="both"/>
      </w:pPr>
      <w:r>
        <w:rPr/>
        <w:t>«chaussures pour dames», il est demandé que la décision attaquée soit annulée, que la demande en déchéance soit rejetée et que la demanderesse en déchéance supporte les frais de la procédure».</w:t>
      </w:r>
    </w:p>
    <w:p>
      <w:pPr>
        <w:pStyle w:val="BodyText"/>
        <w:rPr>
          <w:sz w:val="18"/>
        </w:rPr>
      </w:pPr>
    </w:p>
    <w:p>
      <w:pPr>
        <w:pStyle w:val="BodyText"/>
        <w:rPr>
          <w:sz w:val="18"/>
        </w:rPr>
      </w:pPr>
    </w:p>
    <w:p>
      <w:pPr>
        <w:pStyle w:val="BodyText"/>
        <w:rPr>
          <w:sz w:val="18"/>
        </w:rPr>
      </w:pPr>
    </w:p>
    <w:p>
      <w:pPr>
        <w:pStyle w:val="BodyText"/>
        <w:spacing w:before="155"/>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ListParagraph"/>
        <w:numPr>
          <w:ilvl w:val="0"/>
          <w:numId w:val="1"/>
        </w:numPr>
        <w:tabs>
          <w:tab w:pos="731" w:val="left" w:leader="none"/>
        </w:tabs>
        <w:spacing w:line="240" w:lineRule="auto" w:before="204" w:after="0"/>
        <w:ind w:left="731" w:right="162" w:hanging="567"/>
        <w:jc w:val="both"/>
        <w:rPr>
          <w:sz w:val="24"/>
        </w:rPr>
      </w:pPr>
      <w:r>
        <w:rPr>
          <w:sz w:val="24"/>
        </w:rPr>
        <mc:AlternateContent>
          <mc:Choice Requires="wps">
            <w:drawing>
              <wp:anchor distT="0" distB="0" distL="0" distR="0" allowOverlap="1" layoutInCell="1" locked="0" behindDoc="0" simplePos="0" relativeHeight="15737856">
                <wp:simplePos x="0" y="0"/>
                <wp:positionH relativeFrom="page">
                  <wp:posOffset>270575</wp:posOffset>
                </wp:positionH>
                <wp:positionV relativeFrom="page">
                  <wp:posOffset>1114363</wp:posOffset>
                </wp:positionV>
                <wp:extent cx="146050" cy="921004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7856" type="#_x0000_t202" id="docshape1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4"/>
        </w:rPr>
        <w:t>Toutefois, la titulaire de la marque de l’Union européenne n’a fourni aucun fait, argument ni preuve contestant l’absence d’usage de sa marque pour les produits et services compris dans les classes 18, 25 et 35, à l’exception des </w:t>
      </w:r>
      <w:r>
        <w:rPr>
          <w:i/>
          <w:sz w:val="24"/>
        </w:rPr>
        <w:t>chaussures</w:t>
      </w:r>
      <w:r>
        <w:rPr>
          <w:sz w:val="24"/>
        </w:rPr>
        <w:t>. Elle conteste uniquement la conclusion de la division d’annulation selon laquelle la marque</w:t>
      </w:r>
      <w:r>
        <w:rPr>
          <w:spacing w:val="40"/>
          <w:sz w:val="24"/>
        </w:rPr>
        <w:t> </w:t>
      </w:r>
      <w:r>
        <w:rPr>
          <w:sz w:val="24"/>
        </w:rPr>
        <w:t>a fait l’objet d’un usage sérieux uniquement pour des </w:t>
      </w:r>
      <w:r>
        <w:rPr>
          <w:i/>
          <w:sz w:val="24"/>
        </w:rPr>
        <w:t>chaussures pour femmes</w:t>
      </w:r>
      <w:r>
        <w:rPr>
          <w:sz w:val="24"/>
        </w:rPr>
        <w:t>, par opposition aux </w:t>
      </w:r>
      <w:r>
        <w:rPr>
          <w:i/>
          <w:sz w:val="24"/>
        </w:rPr>
        <w:t>chaussures</w:t>
      </w:r>
      <w:r>
        <w:rPr>
          <w:sz w:val="24"/>
        </w:rPr>
        <w:t>. En l’absence d’arguments visant à contester les conclusions de la décision attaquée, la chambre de recours peut légalement adopter le raisonnement non contesté de la décision attaquée, qui devient alors partie intégrante de sa propre décision (13/09/2010,-292/08, Often, EU:T:2010:399, § 47-49). Par la présente, la chambre de recours approuve le raisonnement et les conclusions non contestés de la décision attaquée concernant les autres produits et services.</w:t>
      </w:r>
    </w:p>
    <w:p>
      <w:pPr>
        <w:pStyle w:val="BodyText"/>
        <w:spacing w:before="84"/>
      </w:pPr>
    </w:p>
    <w:p>
      <w:pPr>
        <w:spacing w:before="0"/>
        <w:ind w:left="731" w:right="0" w:firstLine="0"/>
        <w:jc w:val="left"/>
        <w:rPr>
          <w:i/>
          <w:sz w:val="24"/>
        </w:rPr>
      </w:pPr>
      <w:r>
        <w:rPr>
          <w:i/>
          <w:sz w:val="24"/>
        </w:rPr>
        <w:t>Sur</w:t>
      </w:r>
      <w:r>
        <w:rPr>
          <w:i/>
          <w:spacing w:val="-3"/>
          <w:sz w:val="24"/>
        </w:rPr>
        <w:t> </w:t>
      </w:r>
      <w:r>
        <w:rPr>
          <w:i/>
          <w:sz w:val="24"/>
        </w:rPr>
        <w:t>les éléments de</w:t>
      </w:r>
      <w:r>
        <w:rPr>
          <w:i/>
          <w:spacing w:val="-1"/>
          <w:sz w:val="24"/>
        </w:rPr>
        <w:t> </w:t>
      </w:r>
      <w:r>
        <w:rPr>
          <w:i/>
          <w:sz w:val="24"/>
        </w:rPr>
        <w:t>preuve</w:t>
      </w:r>
      <w:r>
        <w:rPr>
          <w:i/>
          <w:spacing w:val="-1"/>
          <w:sz w:val="24"/>
        </w:rPr>
        <w:t> </w:t>
      </w:r>
      <w:r>
        <w:rPr>
          <w:i/>
          <w:sz w:val="24"/>
        </w:rPr>
        <w:t>produits pour la</w:t>
      </w:r>
      <w:r>
        <w:rPr>
          <w:i/>
          <w:spacing w:val="-1"/>
          <w:sz w:val="24"/>
        </w:rPr>
        <w:t> </w:t>
      </w:r>
      <w:r>
        <w:rPr>
          <w:i/>
          <w:sz w:val="24"/>
        </w:rPr>
        <w:t>première</w:t>
      </w:r>
      <w:r>
        <w:rPr>
          <w:i/>
          <w:spacing w:val="-1"/>
          <w:sz w:val="24"/>
        </w:rPr>
        <w:t> </w:t>
      </w:r>
      <w:r>
        <w:rPr>
          <w:i/>
          <w:sz w:val="24"/>
        </w:rPr>
        <w:t>fois dans</w:t>
      </w:r>
      <w:r>
        <w:rPr>
          <w:i/>
          <w:spacing w:val="-1"/>
          <w:sz w:val="24"/>
        </w:rPr>
        <w:t> </w:t>
      </w:r>
      <w:r>
        <w:rPr>
          <w:i/>
          <w:sz w:val="24"/>
        </w:rPr>
        <w:t>le</w:t>
      </w:r>
      <w:r>
        <w:rPr>
          <w:i/>
          <w:spacing w:val="-1"/>
          <w:sz w:val="24"/>
        </w:rPr>
        <w:t> </w:t>
      </w:r>
      <w:r>
        <w:rPr>
          <w:i/>
          <w:sz w:val="24"/>
        </w:rPr>
        <w:t>cadre</w:t>
      </w:r>
      <w:r>
        <w:rPr>
          <w:i/>
          <w:spacing w:val="-1"/>
          <w:sz w:val="24"/>
        </w:rPr>
        <w:t> </w:t>
      </w:r>
      <w:r>
        <w:rPr>
          <w:i/>
          <w:sz w:val="24"/>
        </w:rPr>
        <w:t>du </w:t>
      </w:r>
      <w:r>
        <w:rPr>
          <w:i/>
          <w:spacing w:val="-2"/>
          <w:sz w:val="24"/>
        </w:rPr>
        <w:t>recours</w:t>
      </w:r>
    </w:p>
    <w:p>
      <w:pPr>
        <w:pStyle w:val="ListParagraph"/>
        <w:numPr>
          <w:ilvl w:val="0"/>
          <w:numId w:val="1"/>
        </w:numPr>
        <w:tabs>
          <w:tab w:pos="731" w:val="left" w:leader="none"/>
        </w:tabs>
        <w:spacing w:line="240" w:lineRule="auto" w:before="241" w:after="0"/>
        <w:ind w:left="731" w:right="161" w:hanging="567"/>
        <w:jc w:val="both"/>
        <w:rPr>
          <w:sz w:val="24"/>
        </w:rPr>
      </w:pPr>
      <w:r>
        <w:rPr>
          <w:sz w:val="24"/>
        </w:rPr>
        <w:t>Conformément à l’article</w:t>
      </w:r>
      <w:r>
        <w:rPr>
          <w:spacing w:val="-1"/>
          <w:sz w:val="24"/>
        </w:rPr>
        <w:t> </w:t>
      </w:r>
      <w:r>
        <w:rPr>
          <w:sz w:val="24"/>
        </w:rPr>
        <w:t>95, paragraphe</w:t>
      </w:r>
      <w:r>
        <w:rPr>
          <w:spacing w:val="-3"/>
          <w:sz w:val="24"/>
        </w:rPr>
        <w:t> </w:t>
      </w:r>
      <w:r>
        <w:rPr>
          <w:sz w:val="24"/>
        </w:rPr>
        <w:t>2, du RMUE, l’Office peut ne pas tenir</w:t>
      </w:r>
      <w:r>
        <w:rPr>
          <w:spacing w:val="40"/>
          <w:sz w:val="24"/>
        </w:rPr>
        <w:t> </w:t>
      </w:r>
      <w:r>
        <w:rPr>
          <w:sz w:val="24"/>
        </w:rPr>
        <w:t>compte des faits que les parties n’ont pas invoqués ou des preuves qu’elles n’ont pas produites en temps utile.</w:t>
      </w:r>
    </w:p>
    <w:p>
      <w:pPr>
        <w:pStyle w:val="ListParagraph"/>
        <w:numPr>
          <w:ilvl w:val="0"/>
          <w:numId w:val="1"/>
        </w:numPr>
        <w:tabs>
          <w:tab w:pos="731" w:val="left" w:leader="none"/>
        </w:tabs>
        <w:spacing w:line="240" w:lineRule="auto" w:before="240" w:after="0"/>
        <w:ind w:left="731" w:right="166" w:hanging="567"/>
        <w:jc w:val="both"/>
        <w:rPr>
          <w:sz w:val="24"/>
        </w:rPr>
      </w:pPr>
      <w:r>
        <w:rPr>
          <w:sz w:val="24"/>
        </w:rPr>
        <w:t>Conformément à l’article 27, paragraphe</w:t>
      </w:r>
      <w:r>
        <w:rPr>
          <w:spacing w:val="-3"/>
          <w:sz w:val="24"/>
        </w:rPr>
        <w:t> </w:t>
      </w:r>
      <w:r>
        <w:rPr>
          <w:sz w:val="24"/>
        </w:rPr>
        <w:t>4, du RDMUE, la chambre de recours ne peut accepter des faits invoqués ou des preuves produites pour la première fois devant elle que si ces faits ou preuves répondent aux exigences suivantes:</w:t>
      </w:r>
    </w:p>
    <w:p>
      <w:pPr>
        <w:pStyle w:val="ListParagraph"/>
        <w:numPr>
          <w:ilvl w:val="0"/>
          <w:numId w:val="2"/>
        </w:numPr>
        <w:tabs>
          <w:tab w:pos="976" w:val="left" w:leader="none"/>
        </w:tabs>
        <w:spacing w:line="240" w:lineRule="auto" w:before="240" w:after="0"/>
        <w:ind w:left="976" w:right="0" w:hanging="245"/>
        <w:jc w:val="both"/>
        <w:rPr>
          <w:sz w:val="24"/>
        </w:rPr>
      </w:pPr>
      <w:r>
        <w:rPr>
          <w:sz w:val="24"/>
        </w:rPr>
        <w:t>ils</w:t>
      </w:r>
      <w:r>
        <w:rPr>
          <w:spacing w:val="-4"/>
          <w:sz w:val="24"/>
        </w:rPr>
        <w:t> </w:t>
      </w:r>
      <w:r>
        <w:rPr>
          <w:sz w:val="24"/>
        </w:rPr>
        <w:t>sont,</w:t>
      </w:r>
      <w:r>
        <w:rPr>
          <w:spacing w:val="-1"/>
          <w:sz w:val="24"/>
        </w:rPr>
        <w:t> </w:t>
      </w:r>
      <w:r>
        <w:rPr>
          <w:sz w:val="24"/>
        </w:rPr>
        <w:t>à</w:t>
      </w:r>
      <w:r>
        <w:rPr>
          <w:spacing w:val="-3"/>
          <w:sz w:val="24"/>
        </w:rPr>
        <w:t> </w:t>
      </w:r>
      <w:r>
        <w:rPr>
          <w:sz w:val="24"/>
        </w:rPr>
        <w:t>première</w:t>
      </w:r>
      <w:r>
        <w:rPr>
          <w:spacing w:val="-2"/>
          <w:sz w:val="24"/>
        </w:rPr>
        <w:t> </w:t>
      </w:r>
      <w:r>
        <w:rPr>
          <w:sz w:val="24"/>
        </w:rPr>
        <w:t>vue,</w:t>
      </w:r>
      <w:r>
        <w:rPr>
          <w:spacing w:val="-2"/>
          <w:sz w:val="24"/>
        </w:rPr>
        <w:t> </w:t>
      </w:r>
      <w:r>
        <w:rPr>
          <w:sz w:val="24"/>
        </w:rPr>
        <w:t>susceptibles</w:t>
      </w:r>
      <w:r>
        <w:rPr>
          <w:spacing w:val="-2"/>
          <w:sz w:val="24"/>
        </w:rPr>
        <w:t> </w:t>
      </w:r>
      <w:r>
        <w:rPr>
          <w:sz w:val="24"/>
        </w:rPr>
        <w:t>d’être</w:t>
      </w:r>
      <w:r>
        <w:rPr>
          <w:spacing w:val="-2"/>
          <w:sz w:val="24"/>
        </w:rPr>
        <w:t> </w:t>
      </w:r>
      <w:r>
        <w:rPr>
          <w:sz w:val="24"/>
        </w:rPr>
        <w:t>pertinents</w:t>
      </w:r>
      <w:r>
        <w:rPr>
          <w:spacing w:val="-3"/>
          <w:sz w:val="24"/>
        </w:rPr>
        <w:t> </w:t>
      </w:r>
      <w:r>
        <w:rPr>
          <w:sz w:val="24"/>
        </w:rPr>
        <w:t>pour</w:t>
      </w:r>
      <w:r>
        <w:rPr>
          <w:spacing w:val="-1"/>
          <w:sz w:val="24"/>
        </w:rPr>
        <w:t> </w:t>
      </w:r>
      <w:r>
        <w:rPr>
          <w:sz w:val="24"/>
        </w:rPr>
        <w:t>l’issue</w:t>
      </w:r>
      <w:r>
        <w:rPr>
          <w:spacing w:val="-3"/>
          <w:sz w:val="24"/>
        </w:rPr>
        <w:t> </w:t>
      </w:r>
      <w:r>
        <w:rPr>
          <w:sz w:val="24"/>
        </w:rPr>
        <w:t>de</w:t>
      </w:r>
      <w:r>
        <w:rPr>
          <w:spacing w:val="-2"/>
          <w:sz w:val="24"/>
        </w:rPr>
        <w:t> </w:t>
      </w:r>
      <w:r>
        <w:rPr>
          <w:sz w:val="24"/>
        </w:rPr>
        <w:t>l’affaire;</w:t>
      </w:r>
      <w:r>
        <w:rPr>
          <w:spacing w:val="-1"/>
          <w:sz w:val="24"/>
        </w:rPr>
        <w:t> </w:t>
      </w:r>
      <w:r>
        <w:rPr>
          <w:spacing w:val="-5"/>
          <w:sz w:val="24"/>
        </w:rPr>
        <w:t>et</w:t>
      </w:r>
    </w:p>
    <w:p>
      <w:pPr>
        <w:pStyle w:val="ListParagraph"/>
        <w:numPr>
          <w:ilvl w:val="0"/>
          <w:numId w:val="2"/>
        </w:numPr>
        <w:tabs>
          <w:tab w:pos="1029" w:val="left" w:leader="none"/>
        </w:tabs>
        <w:spacing w:line="240" w:lineRule="auto" w:before="240" w:after="0"/>
        <w:ind w:left="731" w:right="158" w:firstLine="0"/>
        <w:jc w:val="both"/>
        <w:rPr>
          <w:sz w:val="24"/>
        </w:rPr>
      </w:pPr>
      <w:r>
        <w:rPr>
          <w:sz w:val="24"/>
        </w:rPr>
        <w:t>ils n’ont pas été produits en temps utile pour des raisons valables, en particulier lorsqu’ils viennent simplement compléter des faits et des preuves pertinents qui avaient déjà été présentés en temps utile, ou sont déposés pour contester les conclusions tirées ou examinés d’office par la première instance dans la décision objet du recours.</w:t>
      </w:r>
    </w:p>
    <w:p>
      <w:pPr>
        <w:pStyle w:val="ListParagraph"/>
        <w:numPr>
          <w:ilvl w:val="0"/>
          <w:numId w:val="1"/>
        </w:numPr>
        <w:tabs>
          <w:tab w:pos="731" w:val="left" w:leader="none"/>
        </w:tabs>
        <w:spacing w:line="240" w:lineRule="auto" w:before="241" w:after="0"/>
        <w:ind w:left="731" w:right="166" w:hanging="567"/>
        <w:jc w:val="both"/>
        <w:rPr>
          <w:sz w:val="24"/>
        </w:rPr>
      </w:pPr>
      <w:r>
        <w:rPr>
          <w:sz w:val="24"/>
        </w:rPr>
        <w:t>La titulaire de la marque de l’Union européenne a produit des éléments de preuve supplémentaires au stade du recours avec son mémoire exposant les motifs du recours. La demanderesse en nullité a eu la possibilité de réagir à ces éléments de preuve supplémentaires mais n’a pas présenté de mémoire en réponse au recours. En particulier, les éléments de preuve produits par la titulaire de la marque de l’Union européenne consistent en:</w:t>
      </w:r>
    </w:p>
    <w:p>
      <w:pPr>
        <w:pStyle w:val="ListParagraph"/>
        <w:numPr>
          <w:ilvl w:val="1"/>
          <w:numId w:val="1"/>
        </w:numPr>
        <w:tabs>
          <w:tab w:pos="1296" w:val="left" w:leader="none"/>
          <w:tab w:pos="1298" w:val="left" w:leader="none"/>
        </w:tabs>
        <w:spacing w:line="240" w:lineRule="auto" w:before="239" w:after="0"/>
        <w:ind w:left="1298" w:right="163" w:hanging="567"/>
        <w:jc w:val="both"/>
        <w:rPr>
          <w:sz w:val="24"/>
        </w:rPr>
      </w:pPr>
      <w:r>
        <w:rPr>
          <w:sz w:val="24"/>
        </w:rPr>
        <w:t>photographie et article d’accompagnement en anglais concernant «Berlin Fashion Week 2025». L’article est intitulé «Gender-fluide, sans fil: mode sans frontières entre les hommes et les femmes»:</w:t>
      </w:r>
    </w:p>
    <w:p>
      <w:pPr>
        <w:pStyle w:val="BodyText"/>
        <w:spacing w:before="8"/>
        <w:rPr>
          <w:sz w:val="18"/>
        </w:rPr>
      </w:pPr>
      <w:r>
        <w:rPr>
          <w:sz w:val="18"/>
        </w:rPr>
        <w:drawing>
          <wp:anchor distT="0" distB="0" distL="0" distR="0" allowOverlap="1" layoutInCell="1" locked="0" behindDoc="1" simplePos="0" relativeHeight="487596544">
            <wp:simplePos x="0" y="0"/>
            <wp:positionH relativeFrom="page">
              <wp:posOffset>2181478</wp:posOffset>
            </wp:positionH>
            <wp:positionV relativeFrom="paragraph">
              <wp:posOffset>151771</wp:posOffset>
            </wp:positionV>
            <wp:extent cx="3906960" cy="1257300"/>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5" cstate="print"/>
                    <a:stretch>
                      <a:fillRect/>
                    </a:stretch>
                  </pic:blipFill>
                  <pic:spPr>
                    <a:xfrm>
                      <a:off x="0" y="0"/>
                      <a:ext cx="3906960" cy="1257300"/>
                    </a:xfrm>
                    <a:prstGeom prst="rect">
                      <a:avLst/>
                    </a:prstGeom>
                  </pic:spPr>
                </pic:pic>
              </a:graphicData>
            </a:graphic>
          </wp:anchor>
        </w:drawing>
      </w:r>
    </w:p>
    <w:p>
      <w:pPr>
        <w:pStyle w:val="ListParagraph"/>
        <w:numPr>
          <w:ilvl w:val="1"/>
          <w:numId w:val="1"/>
        </w:numPr>
        <w:tabs>
          <w:tab w:pos="1296" w:val="left" w:leader="none"/>
          <w:tab w:pos="1298" w:val="left" w:leader="none"/>
        </w:tabs>
        <w:spacing w:line="240" w:lineRule="auto" w:before="246" w:after="0"/>
        <w:ind w:left="1298" w:right="167" w:hanging="567"/>
        <w:jc w:val="both"/>
        <w:rPr>
          <w:sz w:val="24"/>
        </w:rPr>
      </w:pPr>
      <w:r>
        <w:rPr>
          <w:sz w:val="24"/>
        </w:rPr>
        <w:t>captures d’écran de divers sites internet (Zalando, GCDS, Etsy</w:t>
      </w:r>
      <w:r>
        <w:rPr>
          <w:spacing w:val="-4"/>
          <w:sz w:val="24"/>
        </w:rPr>
        <w:t> </w:t>
      </w:r>
      <w:r>
        <w:rPr>
          <w:sz w:val="24"/>
        </w:rPr>
        <w:t>et UGG) montrant des</w:t>
      </w:r>
      <w:r>
        <w:rPr>
          <w:spacing w:val="28"/>
          <w:sz w:val="24"/>
        </w:rPr>
        <w:t> </w:t>
      </w:r>
      <w:r>
        <w:rPr>
          <w:sz w:val="24"/>
        </w:rPr>
        <w:t>vêtements</w:t>
      </w:r>
      <w:r>
        <w:rPr>
          <w:spacing w:val="28"/>
          <w:sz w:val="24"/>
        </w:rPr>
        <w:t> </w:t>
      </w:r>
      <w:r>
        <w:rPr>
          <w:sz w:val="24"/>
        </w:rPr>
        <w:t>et</w:t>
      </w:r>
      <w:r>
        <w:rPr>
          <w:spacing w:val="28"/>
          <w:sz w:val="24"/>
        </w:rPr>
        <w:t> </w:t>
      </w:r>
      <w:r>
        <w:rPr>
          <w:sz w:val="24"/>
        </w:rPr>
        <w:t>des</w:t>
      </w:r>
      <w:r>
        <w:rPr>
          <w:spacing w:val="28"/>
          <w:sz w:val="24"/>
        </w:rPr>
        <w:t> </w:t>
      </w:r>
      <w:r>
        <w:rPr>
          <w:sz w:val="24"/>
        </w:rPr>
        <w:t>chaussures</w:t>
      </w:r>
      <w:r>
        <w:rPr>
          <w:spacing w:val="28"/>
          <w:sz w:val="24"/>
        </w:rPr>
        <w:t> </w:t>
      </w:r>
      <w:r>
        <w:rPr>
          <w:sz w:val="24"/>
        </w:rPr>
        <w:t>qui,</w:t>
      </w:r>
      <w:r>
        <w:rPr>
          <w:spacing w:val="28"/>
          <w:sz w:val="24"/>
        </w:rPr>
        <w:t> </w:t>
      </w:r>
      <w:r>
        <w:rPr>
          <w:sz w:val="24"/>
        </w:rPr>
        <w:t>selon</w:t>
      </w:r>
      <w:r>
        <w:rPr>
          <w:spacing w:val="28"/>
          <w:sz w:val="24"/>
        </w:rPr>
        <w:t> </w:t>
      </w:r>
      <w:r>
        <w:rPr>
          <w:sz w:val="24"/>
        </w:rPr>
        <w:t>la</w:t>
      </w:r>
      <w:r>
        <w:rPr>
          <w:spacing w:val="27"/>
          <w:sz w:val="24"/>
        </w:rPr>
        <w:t> </w:t>
      </w:r>
      <w:r>
        <w:rPr>
          <w:sz w:val="24"/>
        </w:rPr>
        <w:t>titulaire</w:t>
      </w:r>
      <w:r>
        <w:rPr>
          <w:spacing w:val="26"/>
          <w:sz w:val="24"/>
        </w:rPr>
        <w:t> </w:t>
      </w:r>
      <w:r>
        <w:rPr>
          <w:sz w:val="24"/>
        </w:rPr>
        <w:t>de</w:t>
      </w:r>
      <w:r>
        <w:rPr>
          <w:spacing w:val="27"/>
          <w:sz w:val="24"/>
        </w:rPr>
        <w:t> </w:t>
      </w:r>
      <w:r>
        <w:rPr>
          <w:sz w:val="24"/>
        </w:rPr>
        <w:t>la</w:t>
      </w:r>
      <w:r>
        <w:rPr>
          <w:spacing w:val="27"/>
          <w:sz w:val="24"/>
        </w:rPr>
        <w:t> </w:t>
      </w:r>
      <w:r>
        <w:rPr>
          <w:sz w:val="24"/>
        </w:rPr>
        <w:t>marque</w:t>
      </w:r>
      <w:r>
        <w:rPr>
          <w:spacing w:val="27"/>
          <w:sz w:val="24"/>
        </w:rPr>
        <w:t> </w:t>
      </w:r>
      <w:r>
        <w:rPr>
          <w:sz w:val="24"/>
        </w:rPr>
        <w:t>de</w:t>
      </w:r>
      <w:r>
        <w:rPr>
          <w:spacing w:val="27"/>
          <w:sz w:val="24"/>
        </w:rPr>
        <w:t> </w:t>
      </w:r>
      <w:r>
        <w:rPr>
          <w:sz w:val="24"/>
        </w:rPr>
        <w:t>l’Union</w:t>
      </w:r>
    </w:p>
    <w:p>
      <w:pPr>
        <w:pStyle w:val="BodyText"/>
        <w:rPr>
          <w:sz w:val="18"/>
        </w:rPr>
      </w:pPr>
    </w:p>
    <w:p>
      <w:pPr>
        <w:pStyle w:val="BodyText"/>
        <w:rPr>
          <w:sz w:val="18"/>
        </w:rPr>
      </w:pPr>
    </w:p>
    <w:p>
      <w:pPr>
        <w:pStyle w:val="BodyText"/>
        <w:spacing w:before="49"/>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BodyText"/>
        <w:spacing w:before="204"/>
        <w:ind w:left="1298"/>
      </w:pPr>
      <w:r>
        <w:rPr/>
        <mc:AlternateContent>
          <mc:Choice Requires="wps">
            <w:drawing>
              <wp:anchor distT="0" distB="0" distL="0" distR="0" allowOverlap="1" layoutInCell="1" locked="0" behindDoc="0" simplePos="0" relativeHeight="15739904">
                <wp:simplePos x="0" y="0"/>
                <wp:positionH relativeFrom="page">
                  <wp:posOffset>270575</wp:posOffset>
                </wp:positionH>
                <wp:positionV relativeFrom="page">
                  <wp:posOffset>1114363</wp:posOffset>
                </wp:positionV>
                <wp:extent cx="146050" cy="921004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9904" type="#_x0000_t202" id="docshape1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t>européenne,</w:t>
      </w:r>
      <w:r>
        <w:rPr>
          <w:spacing w:val="40"/>
        </w:rPr>
        <w:t> </w:t>
      </w:r>
      <w:r>
        <w:rPr/>
        <w:t>sont</w:t>
      </w:r>
      <w:r>
        <w:rPr>
          <w:spacing w:val="40"/>
        </w:rPr>
        <w:t> </w:t>
      </w:r>
      <w:r>
        <w:rPr/>
        <w:t>délibérément</w:t>
      </w:r>
      <w:r>
        <w:rPr>
          <w:spacing w:val="40"/>
        </w:rPr>
        <w:t> </w:t>
      </w:r>
      <w:r>
        <w:rPr/>
        <w:t>étiquetés</w:t>
      </w:r>
      <w:r>
        <w:rPr>
          <w:spacing w:val="40"/>
        </w:rPr>
        <w:t> </w:t>
      </w:r>
      <w:r>
        <w:rPr/>
        <w:t>et</w:t>
      </w:r>
      <w:r>
        <w:rPr>
          <w:spacing w:val="40"/>
        </w:rPr>
        <w:t> </w:t>
      </w:r>
      <w:r>
        <w:rPr/>
        <w:t>commercialisés</w:t>
      </w:r>
      <w:r>
        <w:rPr>
          <w:spacing w:val="40"/>
        </w:rPr>
        <w:t> </w:t>
      </w:r>
      <w:r>
        <w:rPr/>
        <w:t>comme</w:t>
      </w:r>
      <w:r>
        <w:rPr>
          <w:spacing w:val="40"/>
        </w:rPr>
        <w:t> </w:t>
      </w:r>
      <w:r>
        <w:rPr/>
        <w:t>étant</w:t>
      </w:r>
      <w:r>
        <w:rPr>
          <w:spacing w:val="40"/>
        </w:rPr>
        <w:t> </w:t>
      </w:r>
      <w:r>
        <w:rPr/>
        <w:t>«sans </w:t>
      </w:r>
      <w:r>
        <w:rPr>
          <w:spacing w:val="-2"/>
        </w:rPr>
        <w:t>gendres»:</w:t>
      </w:r>
    </w:p>
    <w:p>
      <w:pPr>
        <w:pStyle w:val="BodyText"/>
        <w:spacing w:before="9"/>
        <w:rPr>
          <w:sz w:val="18"/>
        </w:rPr>
      </w:pPr>
      <w:r>
        <w:rPr>
          <w:sz w:val="18"/>
        </w:rPr>
        <w:drawing>
          <wp:anchor distT="0" distB="0" distL="0" distR="0" allowOverlap="1" layoutInCell="1" locked="0" behindDoc="1" simplePos="0" relativeHeight="487597568">
            <wp:simplePos x="0" y="0"/>
            <wp:positionH relativeFrom="page">
              <wp:posOffset>2684779</wp:posOffset>
            </wp:positionH>
            <wp:positionV relativeFrom="paragraph">
              <wp:posOffset>153016</wp:posOffset>
            </wp:positionV>
            <wp:extent cx="2895495" cy="1435607"/>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16" cstate="print"/>
                    <a:stretch>
                      <a:fillRect/>
                    </a:stretch>
                  </pic:blipFill>
                  <pic:spPr>
                    <a:xfrm>
                      <a:off x="0" y="0"/>
                      <a:ext cx="2895495" cy="1435607"/>
                    </a:xfrm>
                    <a:prstGeom prst="rect">
                      <a:avLst/>
                    </a:prstGeom>
                  </pic:spPr>
                </pic:pic>
              </a:graphicData>
            </a:graphic>
          </wp:anchor>
        </w:drawing>
      </w:r>
    </w:p>
    <w:p>
      <w:pPr>
        <w:pStyle w:val="ListParagraph"/>
        <w:numPr>
          <w:ilvl w:val="1"/>
          <w:numId w:val="1"/>
        </w:numPr>
        <w:tabs>
          <w:tab w:pos="1296" w:val="left" w:leader="none"/>
          <w:tab w:pos="1298" w:val="left" w:leader="none"/>
        </w:tabs>
        <w:spacing w:line="240" w:lineRule="auto" w:before="246" w:after="0"/>
        <w:ind w:left="1298" w:right="168" w:hanging="567"/>
        <w:jc w:val="both"/>
        <w:rPr>
          <w:sz w:val="24"/>
        </w:rPr>
      </w:pPr>
      <w:r>
        <w:rPr>
          <w:sz w:val="24"/>
        </w:rPr>
        <w:t>photographies de plusieurs articles de chaussures qui, selon la titulaire de la</w:t>
      </w:r>
      <w:r>
        <w:rPr>
          <w:spacing w:val="40"/>
          <w:sz w:val="24"/>
        </w:rPr>
        <w:t> </w:t>
      </w:r>
      <w:r>
        <w:rPr>
          <w:sz w:val="24"/>
        </w:rPr>
        <w:t>MUE, suscitent des doutes quant à leur destination pour les hommes ou pour les </w:t>
      </w:r>
      <w:r>
        <w:rPr>
          <w:spacing w:val="-2"/>
          <w:sz w:val="24"/>
        </w:rPr>
        <w:t>femmes:</w:t>
      </w:r>
    </w:p>
    <w:p>
      <w:pPr>
        <w:pStyle w:val="BodyText"/>
        <w:spacing w:before="8"/>
        <w:rPr>
          <w:sz w:val="18"/>
        </w:rPr>
      </w:pPr>
      <w:r>
        <w:rPr>
          <w:sz w:val="18"/>
        </w:rPr>
        <w:drawing>
          <wp:anchor distT="0" distB="0" distL="0" distR="0" allowOverlap="1" layoutInCell="1" locked="0" behindDoc="1" simplePos="0" relativeHeight="487598080">
            <wp:simplePos x="0" y="0"/>
            <wp:positionH relativeFrom="page">
              <wp:posOffset>3192144</wp:posOffset>
            </wp:positionH>
            <wp:positionV relativeFrom="paragraph">
              <wp:posOffset>151973</wp:posOffset>
            </wp:positionV>
            <wp:extent cx="1896706" cy="1082802"/>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17" cstate="print"/>
                    <a:stretch>
                      <a:fillRect/>
                    </a:stretch>
                  </pic:blipFill>
                  <pic:spPr>
                    <a:xfrm>
                      <a:off x="0" y="0"/>
                      <a:ext cx="1896706" cy="1082802"/>
                    </a:xfrm>
                    <a:prstGeom prst="rect">
                      <a:avLst/>
                    </a:prstGeom>
                  </pic:spPr>
                </pic:pic>
              </a:graphicData>
            </a:graphic>
          </wp:anchor>
        </w:drawing>
      </w:r>
    </w:p>
    <w:p>
      <w:pPr>
        <w:pStyle w:val="ListParagraph"/>
        <w:numPr>
          <w:ilvl w:val="1"/>
          <w:numId w:val="1"/>
        </w:numPr>
        <w:tabs>
          <w:tab w:pos="1296" w:val="left" w:leader="none"/>
          <w:tab w:pos="1298" w:val="left" w:leader="none"/>
        </w:tabs>
        <w:spacing w:line="240" w:lineRule="auto" w:before="234" w:after="0"/>
        <w:ind w:left="1298" w:right="166" w:hanging="567"/>
        <w:jc w:val="both"/>
        <w:rPr>
          <w:sz w:val="24"/>
        </w:rPr>
      </w:pPr>
      <w:r>
        <w:rPr>
          <w:sz w:val="24"/>
        </w:rPr>
        <w:t>extraits d’articles rédigés en allemand et en anglais sur le chanteur britannique Harry Styles intitulé «Men with pearl necklaces: Une tendance de mode qui décompose les frontières entre les hommes et les femmes» et «Harry Styles ne peut pas obtenir suffisamment cette marque de bijouterie indépendante»:</w:t>
      </w:r>
    </w:p>
    <w:p>
      <w:pPr>
        <w:pStyle w:val="BodyText"/>
        <w:spacing w:before="8"/>
        <w:rPr>
          <w:sz w:val="18"/>
        </w:rPr>
      </w:pPr>
      <w:r>
        <w:rPr>
          <w:sz w:val="18"/>
        </w:rPr>
        <w:drawing>
          <wp:anchor distT="0" distB="0" distL="0" distR="0" allowOverlap="1" layoutInCell="1" locked="0" behindDoc="1" simplePos="0" relativeHeight="487598592">
            <wp:simplePos x="0" y="0"/>
            <wp:positionH relativeFrom="page">
              <wp:posOffset>2798444</wp:posOffset>
            </wp:positionH>
            <wp:positionV relativeFrom="paragraph">
              <wp:posOffset>152359</wp:posOffset>
            </wp:positionV>
            <wp:extent cx="2672938" cy="1796795"/>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18" cstate="print"/>
                    <a:stretch>
                      <a:fillRect/>
                    </a:stretch>
                  </pic:blipFill>
                  <pic:spPr>
                    <a:xfrm>
                      <a:off x="0" y="0"/>
                      <a:ext cx="2672938" cy="1796795"/>
                    </a:xfrm>
                    <a:prstGeom prst="rect">
                      <a:avLst/>
                    </a:prstGeom>
                  </pic:spPr>
                </pic:pic>
              </a:graphicData>
            </a:graphic>
          </wp:anchor>
        </w:drawing>
      </w:r>
    </w:p>
    <w:p>
      <w:pPr>
        <w:pStyle w:val="ListParagraph"/>
        <w:numPr>
          <w:ilvl w:val="1"/>
          <w:numId w:val="1"/>
        </w:numPr>
        <w:tabs>
          <w:tab w:pos="1296" w:val="left" w:leader="none"/>
          <w:tab w:pos="1298" w:val="left" w:leader="none"/>
        </w:tabs>
        <w:spacing w:line="240" w:lineRule="auto" w:before="245" w:after="0"/>
        <w:ind w:left="1298" w:right="157" w:hanging="567"/>
        <w:jc w:val="both"/>
        <w:rPr>
          <w:sz w:val="24"/>
        </w:rPr>
      </w:pPr>
      <w:r>
        <w:rPr>
          <w:sz w:val="24"/>
        </w:rPr>
        <w:t>extrait d’un article relatif à la stéréotypage du genre, extrait du </w:t>
      </w:r>
      <w:hyperlink r:id="rId19">
        <w:r>
          <w:rPr>
            <w:color w:val="0000FF"/>
            <w:sz w:val="24"/>
            <w:u w:val="single" w:color="0000FF"/>
          </w:rPr>
          <w:t>site</w:t>
        </w:r>
      </w:hyperlink>
      <w:r>
        <w:rPr>
          <w:color w:val="0000FF"/>
          <w:sz w:val="24"/>
        </w:rPr>
        <w:t> </w:t>
      </w:r>
      <w:hyperlink r:id="rId19">
        <w:r>
          <w:rPr>
            <w:color w:val="0000FF"/>
            <w:spacing w:val="-2"/>
            <w:sz w:val="24"/>
            <w:u w:val="single" w:color="0000FF"/>
          </w:rPr>
          <w:t>https://www.ohchr.org/en/ohchr_homepage</w:t>
        </w:r>
        <w:r>
          <w:rPr>
            <w:spacing w:val="-2"/>
            <w:sz w:val="24"/>
          </w:rPr>
          <w:t>.</w:t>
        </w:r>
      </w:hyperlink>
    </w:p>
    <w:p>
      <w:pPr>
        <w:pStyle w:val="ListParagraph"/>
        <w:numPr>
          <w:ilvl w:val="1"/>
          <w:numId w:val="1"/>
        </w:numPr>
        <w:tabs>
          <w:tab w:pos="1296" w:val="left" w:leader="none"/>
          <w:tab w:pos="1298" w:val="left" w:leader="none"/>
        </w:tabs>
        <w:spacing w:line="240" w:lineRule="auto" w:before="239" w:after="0"/>
        <w:ind w:left="1298" w:right="166" w:hanging="567"/>
        <w:jc w:val="both"/>
        <w:rPr>
          <w:sz w:val="24"/>
        </w:rPr>
      </w:pPr>
      <w:r>
        <w:rPr>
          <w:sz w:val="24"/>
        </w:rPr>
        <w:t>extrait</w:t>
      </w:r>
      <w:r>
        <w:rPr>
          <w:spacing w:val="-3"/>
          <w:sz w:val="24"/>
        </w:rPr>
        <w:t> </w:t>
      </w:r>
      <w:r>
        <w:rPr>
          <w:sz w:val="24"/>
        </w:rPr>
        <w:t>du</w:t>
      </w:r>
      <w:r>
        <w:rPr>
          <w:spacing w:val="-3"/>
          <w:sz w:val="24"/>
        </w:rPr>
        <w:t> </w:t>
      </w:r>
      <w:r>
        <w:rPr>
          <w:sz w:val="24"/>
        </w:rPr>
        <w:t>COM</w:t>
      </w:r>
      <w:r>
        <w:rPr>
          <w:spacing w:val="-3"/>
          <w:sz w:val="24"/>
        </w:rPr>
        <w:t> </w:t>
      </w:r>
      <w:r>
        <w:rPr>
          <w:sz w:val="24"/>
        </w:rPr>
        <w:t>2020</w:t>
      </w:r>
      <w:r>
        <w:rPr>
          <w:spacing w:val="-3"/>
          <w:sz w:val="24"/>
        </w:rPr>
        <w:t> </w:t>
      </w:r>
      <w:r>
        <w:rPr>
          <w:sz w:val="24"/>
        </w:rPr>
        <w:t>152</w:t>
      </w:r>
      <w:r>
        <w:rPr>
          <w:spacing w:val="-3"/>
          <w:sz w:val="24"/>
        </w:rPr>
        <w:t> </w:t>
      </w:r>
      <w:r>
        <w:rPr>
          <w:sz w:val="24"/>
        </w:rPr>
        <w:t>final: «Communication</w:t>
      </w:r>
      <w:r>
        <w:rPr>
          <w:spacing w:val="-3"/>
          <w:sz w:val="24"/>
        </w:rPr>
        <w:t> </w:t>
      </w:r>
      <w:r>
        <w:rPr>
          <w:sz w:val="24"/>
        </w:rPr>
        <w:t>de</w:t>
      </w:r>
      <w:r>
        <w:rPr>
          <w:spacing w:val="-4"/>
          <w:sz w:val="24"/>
        </w:rPr>
        <w:t> </w:t>
      </w:r>
      <w:r>
        <w:rPr>
          <w:sz w:val="24"/>
        </w:rPr>
        <w:t>la</w:t>
      </w:r>
      <w:r>
        <w:rPr>
          <w:spacing w:val="-3"/>
          <w:sz w:val="24"/>
        </w:rPr>
        <w:t> </w:t>
      </w:r>
      <w:r>
        <w:rPr>
          <w:sz w:val="24"/>
        </w:rPr>
        <w:t>Commission</w:t>
      </w:r>
      <w:r>
        <w:rPr>
          <w:spacing w:val="-3"/>
          <w:sz w:val="24"/>
        </w:rPr>
        <w:t> </w:t>
      </w:r>
      <w:r>
        <w:rPr>
          <w:sz w:val="24"/>
        </w:rPr>
        <w:t>au</w:t>
      </w:r>
      <w:r>
        <w:rPr>
          <w:spacing w:val="-3"/>
          <w:sz w:val="24"/>
        </w:rPr>
        <w:t> </w:t>
      </w:r>
      <w:r>
        <w:rPr>
          <w:sz w:val="24"/>
        </w:rPr>
        <w:t>Parlement européen, au Conseil, au Comité économique et social européen et au Comité des régions</w:t>
      </w:r>
      <w:r>
        <w:rPr>
          <w:spacing w:val="-2"/>
          <w:sz w:val="24"/>
        </w:rPr>
        <w:t> </w:t>
      </w:r>
      <w:r>
        <w:rPr>
          <w:sz w:val="24"/>
        </w:rPr>
        <w:t>—</w:t>
      </w:r>
      <w:r>
        <w:rPr>
          <w:spacing w:val="-3"/>
          <w:sz w:val="24"/>
        </w:rPr>
        <w:t> </w:t>
      </w:r>
      <w:r>
        <w:rPr>
          <w:sz w:val="24"/>
        </w:rPr>
        <w:t>Une</w:t>
      </w:r>
      <w:r>
        <w:rPr>
          <w:spacing w:val="-4"/>
          <w:sz w:val="24"/>
        </w:rPr>
        <w:t> </w:t>
      </w:r>
      <w:r>
        <w:rPr>
          <w:sz w:val="24"/>
        </w:rPr>
        <w:t>Union</w:t>
      </w:r>
      <w:r>
        <w:rPr>
          <w:spacing w:val="-3"/>
          <w:sz w:val="24"/>
        </w:rPr>
        <w:t> </w:t>
      </w:r>
      <w:r>
        <w:rPr>
          <w:sz w:val="24"/>
        </w:rPr>
        <w:t>de</w:t>
      </w:r>
      <w:r>
        <w:rPr>
          <w:spacing w:val="-2"/>
          <w:sz w:val="24"/>
        </w:rPr>
        <w:t> </w:t>
      </w:r>
      <w:r>
        <w:rPr>
          <w:sz w:val="24"/>
        </w:rPr>
        <w:t>l’égalité:</w:t>
      </w:r>
      <w:r>
        <w:rPr>
          <w:spacing w:val="-3"/>
          <w:sz w:val="24"/>
        </w:rPr>
        <w:t> </w:t>
      </w:r>
      <w:r>
        <w:rPr>
          <w:sz w:val="24"/>
        </w:rPr>
        <w:t>Stratégie</w:t>
      </w:r>
      <w:r>
        <w:rPr>
          <w:spacing w:val="-2"/>
          <w:sz w:val="24"/>
        </w:rPr>
        <w:t> </w:t>
      </w:r>
      <w:r>
        <w:rPr>
          <w:sz w:val="24"/>
        </w:rPr>
        <w:t>pour</w:t>
      </w:r>
      <w:r>
        <w:rPr>
          <w:spacing w:val="-4"/>
          <w:sz w:val="24"/>
        </w:rPr>
        <w:t> </w:t>
      </w:r>
      <w:r>
        <w:rPr>
          <w:sz w:val="24"/>
        </w:rPr>
        <w:t>l’égalité</w:t>
      </w:r>
      <w:r>
        <w:rPr>
          <w:spacing w:val="-3"/>
          <w:sz w:val="24"/>
        </w:rPr>
        <w:t> </w:t>
      </w:r>
      <w:r>
        <w:rPr>
          <w:sz w:val="24"/>
        </w:rPr>
        <w:t>entre</w:t>
      </w:r>
      <w:r>
        <w:rPr>
          <w:spacing w:val="-5"/>
          <w:sz w:val="24"/>
        </w:rPr>
        <w:t> </w:t>
      </w:r>
      <w:r>
        <w:rPr>
          <w:sz w:val="24"/>
        </w:rPr>
        <w:t>les</w:t>
      </w:r>
      <w:r>
        <w:rPr>
          <w:spacing w:val="-2"/>
          <w:sz w:val="24"/>
        </w:rPr>
        <w:t> </w:t>
      </w:r>
      <w:r>
        <w:rPr>
          <w:sz w:val="24"/>
        </w:rPr>
        <w:t>hommes</w:t>
      </w:r>
      <w:r>
        <w:rPr>
          <w:spacing w:val="-4"/>
          <w:sz w:val="24"/>
        </w:rPr>
        <w:t> </w:t>
      </w:r>
      <w:r>
        <w:rPr>
          <w:sz w:val="24"/>
        </w:rPr>
        <w:t>et</w:t>
      </w:r>
      <w:r>
        <w:rPr>
          <w:spacing w:val="-3"/>
          <w:sz w:val="24"/>
        </w:rPr>
        <w:t> </w:t>
      </w:r>
      <w:r>
        <w:rPr>
          <w:sz w:val="24"/>
        </w:rPr>
        <w:t>les femmes 2020-2025».</w:t>
      </w:r>
    </w:p>
    <w:p>
      <w:pPr>
        <w:pStyle w:val="ListParagraph"/>
        <w:numPr>
          <w:ilvl w:val="0"/>
          <w:numId w:val="1"/>
        </w:numPr>
        <w:tabs>
          <w:tab w:pos="731" w:val="left" w:leader="none"/>
        </w:tabs>
        <w:spacing w:line="240" w:lineRule="auto" w:before="239" w:after="0"/>
        <w:ind w:left="731" w:right="164" w:hanging="567"/>
        <w:jc w:val="both"/>
        <w:rPr>
          <w:sz w:val="24"/>
        </w:rPr>
      </w:pPr>
      <w:r>
        <w:rPr>
          <w:sz w:val="24"/>
        </w:rPr>
        <w:t>Conformément à l’article</w:t>
      </w:r>
      <w:r>
        <w:rPr>
          <w:spacing w:val="-2"/>
          <w:sz w:val="24"/>
        </w:rPr>
        <w:t> </w:t>
      </w:r>
      <w:r>
        <w:rPr>
          <w:sz w:val="24"/>
        </w:rPr>
        <w:t>27, paragraphe</w:t>
      </w:r>
      <w:r>
        <w:rPr>
          <w:spacing w:val="-3"/>
          <w:sz w:val="24"/>
        </w:rPr>
        <w:t> </w:t>
      </w:r>
      <w:r>
        <w:rPr>
          <w:sz w:val="24"/>
        </w:rPr>
        <w:t>4, du RDMUE, les preuves supplémentaires sont caractérisées par un lien avec d’autres preuves précédemment produites en temps utile qu’elles complètent (19/01/2022, T-76/21, Pomodoro, EU:T:2022:16, § 45-46).</w:t>
      </w:r>
    </w:p>
    <w:p>
      <w:pPr>
        <w:pStyle w:val="BodyText"/>
        <w:rPr>
          <w:sz w:val="18"/>
        </w:rPr>
      </w:pPr>
    </w:p>
    <w:p>
      <w:pPr>
        <w:pStyle w:val="BodyText"/>
        <w:spacing w:before="182"/>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ListParagraph"/>
        <w:numPr>
          <w:ilvl w:val="0"/>
          <w:numId w:val="1"/>
        </w:numPr>
        <w:tabs>
          <w:tab w:pos="731" w:val="left" w:leader="none"/>
        </w:tabs>
        <w:spacing w:line="240" w:lineRule="auto" w:before="204" w:after="0"/>
        <w:ind w:left="731" w:right="161" w:hanging="567"/>
        <w:jc w:val="both"/>
        <w:rPr>
          <w:sz w:val="24"/>
        </w:rPr>
      </w:pPr>
      <w:r>
        <w:rPr>
          <w:sz w:val="24"/>
        </w:rPr>
        <mc:AlternateContent>
          <mc:Choice Requires="wps">
            <w:drawing>
              <wp:anchor distT="0" distB="0" distL="0" distR="0" allowOverlap="1" layoutInCell="1" locked="0" behindDoc="0" simplePos="0" relativeHeight="15740416">
                <wp:simplePos x="0" y="0"/>
                <wp:positionH relativeFrom="page">
                  <wp:posOffset>270575</wp:posOffset>
                </wp:positionH>
                <wp:positionV relativeFrom="page">
                  <wp:posOffset>1114363</wp:posOffset>
                </wp:positionV>
                <wp:extent cx="146050" cy="921004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0416" type="#_x0000_t202" id="docshape2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4"/>
        </w:rPr>
        <w:t>La</w:t>
      </w:r>
      <w:r>
        <w:rPr>
          <w:spacing w:val="-2"/>
          <w:sz w:val="24"/>
        </w:rPr>
        <w:t> </w:t>
      </w:r>
      <w:r>
        <w:rPr>
          <w:sz w:val="24"/>
        </w:rPr>
        <w:t>chambre</w:t>
      </w:r>
      <w:r>
        <w:rPr>
          <w:spacing w:val="-5"/>
          <w:sz w:val="24"/>
        </w:rPr>
        <w:t> </w:t>
      </w:r>
      <w:r>
        <w:rPr>
          <w:sz w:val="24"/>
        </w:rPr>
        <w:t>de</w:t>
      </w:r>
      <w:r>
        <w:rPr>
          <w:spacing w:val="-2"/>
          <w:sz w:val="24"/>
        </w:rPr>
        <w:t> </w:t>
      </w:r>
      <w:r>
        <w:rPr>
          <w:sz w:val="24"/>
        </w:rPr>
        <w:t>recours</w:t>
      </w:r>
      <w:r>
        <w:rPr>
          <w:spacing w:val="-4"/>
          <w:sz w:val="24"/>
        </w:rPr>
        <w:t> </w:t>
      </w:r>
      <w:r>
        <w:rPr>
          <w:sz w:val="24"/>
        </w:rPr>
        <w:t>considère</w:t>
      </w:r>
      <w:r>
        <w:rPr>
          <w:spacing w:val="-5"/>
          <w:sz w:val="24"/>
        </w:rPr>
        <w:t> </w:t>
      </w:r>
      <w:r>
        <w:rPr>
          <w:sz w:val="24"/>
        </w:rPr>
        <w:t>qu’en</w:t>
      </w:r>
      <w:r>
        <w:rPr>
          <w:spacing w:val="-3"/>
          <w:sz w:val="24"/>
        </w:rPr>
        <w:t> </w:t>
      </w:r>
      <w:r>
        <w:rPr>
          <w:sz w:val="24"/>
        </w:rPr>
        <w:t>l’espèce,</w:t>
      </w:r>
      <w:r>
        <w:rPr>
          <w:spacing w:val="-1"/>
          <w:sz w:val="24"/>
        </w:rPr>
        <w:t> </w:t>
      </w:r>
      <w:r>
        <w:rPr>
          <w:sz w:val="24"/>
        </w:rPr>
        <w:t>les</w:t>
      </w:r>
      <w:r>
        <w:rPr>
          <w:spacing w:val="-4"/>
          <w:sz w:val="24"/>
        </w:rPr>
        <w:t> </w:t>
      </w:r>
      <w:r>
        <w:rPr>
          <w:sz w:val="24"/>
        </w:rPr>
        <w:t>conditions</w:t>
      </w:r>
      <w:r>
        <w:rPr>
          <w:spacing w:val="-4"/>
          <w:sz w:val="24"/>
        </w:rPr>
        <w:t> </w:t>
      </w:r>
      <w:r>
        <w:rPr>
          <w:sz w:val="24"/>
        </w:rPr>
        <w:t>permettant</w:t>
      </w:r>
      <w:r>
        <w:rPr>
          <w:spacing w:val="-1"/>
          <w:sz w:val="24"/>
        </w:rPr>
        <w:t> </w:t>
      </w:r>
      <w:r>
        <w:rPr>
          <w:sz w:val="24"/>
        </w:rPr>
        <w:t>l’acceptation des éléments de preuve produits par la titulaire de la MUE au stade du recours ont été remplies. Les documents produits devant les chambres de recours font référence aux exigences de l’article</w:t>
      </w:r>
      <w:r>
        <w:rPr>
          <w:spacing w:val="-1"/>
          <w:sz w:val="24"/>
        </w:rPr>
        <w:t> </w:t>
      </w:r>
      <w:r>
        <w:rPr>
          <w:sz w:val="24"/>
        </w:rPr>
        <w:t>58, paragraphe</w:t>
      </w:r>
      <w:r>
        <w:rPr>
          <w:spacing w:val="-2"/>
          <w:sz w:val="24"/>
        </w:rPr>
        <w:t> </w:t>
      </w:r>
      <w:r>
        <w:rPr>
          <w:sz w:val="24"/>
        </w:rPr>
        <w:t>1, point</w:t>
      </w:r>
      <w:r>
        <w:rPr>
          <w:spacing w:val="-1"/>
          <w:sz w:val="24"/>
        </w:rPr>
        <w:t> </w:t>
      </w:r>
      <w:r>
        <w:rPr>
          <w:sz w:val="24"/>
        </w:rPr>
        <w:t>a), du RMUE. Les informations et les éléments de preuve produits au stade du recours sont à </w:t>
      </w:r>
      <w:r>
        <w:rPr>
          <w:i/>
          <w:sz w:val="24"/>
        </w:rPr>
        <w:t>première vue </w:t>
      </w:r>
      <w:r>
        <w:rPr>
          <w:sz w:val="24"/>
        </w:rPr>
        <w:t>pertinents pour le litige et contestent les conclusions de la division d’annulation en ce qui concerne la détermination des sous-catégories des </w:t>
      </w:r>
      <w:r>
        <w:rPr>
          <w:i/>
          <w:sz w:val="24"/>
        </w:rPr>
        <w:t>chaussures </w:t>
      </w:r>
      <w:r>
        <w:rPr>
          <w:sz w:val="24"/>
        </w:rPr>
        <w:t>comprises dans la classe 25 pour lesquelles la titulaire de la marque de l’Union européenne a fait un usage sérieux de sa marque contestée et l’appréciation des éléments de preuve produits au cours de la procédure d’annulation.</w:t>
      </w:r>
    </w:p>
    <w:p>
      <w:pPr>
        <w:pStyle w:val="ListParagraph"/>
        <w:numPr>
          <w:ilvl w:val="0"/>
          <w:numId w:val="1"/>
        </w:numPr>
        <w:tabs>
          <w:tab w:pos="731" w:val="left" w:leader="none"/>
        </w:tabs>
        <w:spacing w:line="240" w:lineRule="auto" w:before="240" w:after="0"/>
        <w:ind w:left="731" w:right="168" w:hanging="567"/>
        <w:jc w:val="both"/>
        <w:rPr>
          <w:sz w:val="24"/>
        </w:rPr>
      </w:pPr>
      <w:r>
        <w:rPr>
          <w:sz w:val="24"/>
        </w:rPr>
        <w:t>Enfin, rien ne suggère une négligence manifeste ou des tactiques dilatoires en l’espèce (18/07/2013, 621/11-P, Fishbone, EU:C:2013:484, § 36).</w:t>
      </w:r>
    </w:p>
    <w:p>
      <w:pPr>
        <w:pStyle w:val="ListParagraph"/>
        <w:numPr>
          <w:ilvl w:val="0"/>
          <w:numId w:val="1"/>
        </w:numPr>
        <w:tabs>
          <w:tab w:pos="731" w:val="left" w:leader="none"/>
        </w:tabs>
        <w:spacing w:line="240" w:lineRule="auto" w:before="241" w:after="0"/>
        <w:ind w:left="731" w:right="165" w:hanging="567"/>
        <w:jc w:val="both"/>
        <w:rPr>
          <w:sz w:val="24"/>
        </w:rPr>
      </w:pPr>
      <w:r>
        <w:rPr>
          <w:sz w:val="24"/>
        </w:rPr>
        <w:t>Il s’ensuit que les critères applicables pour accepter les éléments de preuve produits pour la première fois devant la chambre de recours sont remplis. Par conséquent, tous les faits et preuves présentés par la titulaire de la marque de l’Union européenne énumérés au paragraphe 18 ci-dessus seront considérés comme recevables par la chambre</w:t>
      </w:r>
      <w:r>
        <w:rPr>
          <w:spacing w:val="-2"/>
          <w:sz w:val="24"/>
        </w:rPr>
        <w:t> </w:t>
      </w:r>
      <w:r>
        <w:rPr>
          <w:sz w:val="24"/>
        </w:rPr>
        <w:t>de</w:t>
      </w:r>
      <w:r>
        <w:rPr>
          <w:spacing w:val="-2"/>
          <w:sz w:val="24"/>
        </w:rPr>
        <w:t> </w:t>
      </w:r>
      <w:r>
        <w:rPr>
          <w:sz w:val="24"/>
        </w:rPr>
        <w:t>recours.</w:t>
      </w:r>
      <w:r>
        <w:rPr>
          <w:spacing w:val="-2"/>
          <w:sz w:val="24"/>
        </w:rPr>
        <w:t> </w:t>
      </w:r>
      <w:r>
        <w:rPr>
          <w:sz w:val="24"/>
        </w:rPr>
        <w:t>La</w:t>
      </w:r>
      <w:r>
        <w:rPr>
          <w:spacing w:val="-2"/>
          <w:sz w:val="24"/>
        </w:rPr>
        <w:t> </w:t>
      </w:r>
      <w:r>
        <w:rPr>
          <w:sz w:val="24"/>
        </w:rPr>
        <w:t>pertinence</w:t>
      </w:r>
      <w:r>
        <w:rPr>
          <w:spacing w:val="-2"/>
          <w:sz w:val="24"/>
        </w:rPr>
        <w:t> </w:t>
      </w:r>
      <w:r>
        <w:rPr>
          <w:sz w:val="24"/>
        </w:rPr>
        <w:t>de</w:t>
      </w:r>
      <w:r>
        <w:rPr>
          <w:spacing w:val="-2"/>
          <w:sz w:val="24"/>
        </w:rPr>
        <w:t> </w:t>
      </w:r>
      <w:r>
        <w:rPr>
          <w:sz w:val="24"/>
        </w:rPr>
        <w:t>ces</w:t>
      </w:r>
      <w:r>
        <w:rPr>
          <w:spacing w:val="-1"/>
          <w:sz w:val="24"/>
        </w:rPr>
        <w:t> </w:t>
      </w:r>
      <w:r>
        <w:rPr>
          <w:sz w:val="24"/>
        </w:rPr>
        <w:t>éléments</w:t>
      </w:r>
      <w:r>
        <w:rPr>
          <w:spacing w:val="-1"/>
          <w:sz w:val="24"/>
        </w:rPr>
        <w:t> </w:t>
      </w:r>
      <w:r>
        <w:rPr>
          <w:sz w:val="24"/>
        </w:rPr>
        <w:t>de</w:t>
      </w:r>
      <w:r>
        <w:rPr>
          <w:spacing w:val="-4"/>
          <w:sz w:val="24"/>
        </w:rPr>
        <w:t> </w:t>
      </w:r>
      <w:r>
        <w:rPr>
          <w:sz w:val="24"/>
        </w:rPr>
        <w:t>preuve</w:t>
      </w:r>
      <w:r>
        <w:rPr>
          <w:spacing w:val="-2"/>
          <w:sz w:val="24"/>
        </w:rPr>
        <w:t> </w:t>
      </w:r>
      <w:r>
        <w:rPr>
          <w:sz w:val="24"/>
        </w:rPr>
        <w:t>pour</w:t>
      </w:r>
      <w:r>
        <w:rPr>
          <w:spacing w:val="-4"/>
          <w:sz w:val="24"/>
        </w:rPr>
        <w:t> </w:t>
      </w:r>
      <w:r>
        <w:rPr>
          <w:sz w:val="24"/>
        </w:rPr>
        <w:t>déterminer</w:t>
      </w:r>
      <w:r>
        <w:rPr>
          <w:spacing w:val="-3"/>
          <w:sz w:val="24"/>
        </w:rPr>
        <w:t> </w:t>
      </w:r>
      <w:r>
        <w:rPr>
          <w:sz w:val="24"/>
        </w:rPr>
        <w:t>l’issue</w:t>
      </w:r>
      <w:r>
        <w:rPr>
          <w:spacing w:val="-4"/>
          <w:sz w:val="24"/>
        </w:rPr>
        <w:t> </w:t>
      </w:r>
      <w:r>
        <w:rPr>
          <w:sz w:val="24"/>
        </w:rPr>
        <w:t>de l’affaire sera analysée dans les sections ci-dessous de la décision de la chambre de </w:t>
      </w:r>
      <w:r>
        <w:rPr>
          <w:spacing w:val="-2"/>
          <w:sz w:val="24"/>
        </w:rPr>
        <w:t>recours.</w:t>
      </w:r>
    </w:p>
    <w:p>
      <w:pPr>
        <w:pStyle w:val="BodyText"/>
        <w:spacing w:before="84"/>
      </w:pPr>
    </w:p>
    <w:p>
      <w:pPr>
        <w:spacing w:before="0"/>
        <w:ind w:left="731" w:right="0" w:firstLine="0"/>
        <w:jc w:val="left"/>
        <w:rPr>
          <w:i/>
          <w:sz w:val="24"/>
        </w:rPr>
      </w:pPr>
      <w:r>
        <w:rPr>
          <w:i/>
          <w:sz w:val="24"/>
        </w:rPr>
        <w:t>Article</w:t>
      </w:r>
      <w:r>
        <w:rPr>
          <w:i/>
          <w:spacing w:val="-4"/>
          <w:sz w:val="24"/>
        </w:rPr>
        <w:t> </w:t>
      </w:r>
      <w:r>
        <w:rPr>
          <w:i/>
          <w:sz w:val="24"/>
        </w:rPr>
        <w:t>58, paragraphe</w:t>
      </w:r>
      <w:r>
        <w:rPr>
          <w:i/>
          <w:spacing w:val="-1"/>
          <w:sz w:val="24"/>
        </w:rPr>
        <w:t> </w:t>
      </w:r>
      <w:r>
        <w:rPr>
          <w:i/>
          <w:sz w:val="24"/>
        </w:rPr>
        <w:t>1, point a), du</w:t>
      </w:r>
      <w:r>
        <w:rPr>
          <w:i/>
          <w:spacing w:val="-1"/>
          <w:sz w:val="24"/>
        </w:rPr>
        <w:t> </w:t>
      </w:r>
      <w:r>
        <w:rPr>
          <w:i/>
          <w:sz w:val="24"/>
        </w:rPr>
        <w:t>RMUE</w:t>
      </w:r>
      <w:r>
        <w:rPr>
          <w:i/>
          <w:spacing w:val="-1"/>
          <w:sz w:val="24"/>
        </w:rPr>
        <w:t> </w:t>
      </w:r>
      <w:r>
        <w:rPr>
          <w:i/>
          <w:sz w:val="24"/>
        </w:rPr>
        <w:t>—</w:t>
      </w:r>
      <w:r>
        <w:rPr>
          <w:i/>
          <w:spacing w:val="-1"/>
          <w:sz w:val="24"/>
        </w:rPr>
        <w:t> </w:t>
      </w:r>
      <w:r>
        <w:rPr>
          <w:i/>
          <w:sz w:val="24"/>
        </w:rPr>
        <w:t>déchéance</w:t>
      </w:r>
      <w:r>
        <w:rPr>
          <w:i/>
          <w:spacing w:val="-1"/>
          <w:sz w:val="24"/>
        </w:rPr>
        <w:t> </w:t>
      </w:r>
      <w:r>
        <w:rPr>
          <w:i/>
          <w:sz w:val="24"/>
        </w:rPr>
        <w:t>pour non-</w:t>
      </w:r>
      <w:r>
        <w:rPr>
          <w:i/>
          <w:spacing w:val="-2"/>
          <w:sz w:val="24"/>
        </w:rPr>
        <w:t>usage</w:t>
      </w:r>
    </w:p>
    <w:p>
      <w:pPr>
        <w:pStyle w:val="ListParagraph"/>
        <w:numPr>
          <w:ilvl w:val="0"/>
          <w:numId w:val="1"/>
        </w:numPr>
        <w:tabs>
          <w:tab w:pos="731" w:val="left" w:leader="none"/>
        </w:tabs>
        <w:spacing w:line="240" w:lineRule="auto" w:before="240" w:after="0"/>
        <w:ind w:left="731" w:right="162" w:hanging="567"/>
        <w:jc w:val="both"/>
        <w:rPr>
          <w:sz w:val="24"/>
        </w:rPr>
      </w:pPr>
      <w:r>
        <w:rPr>
          <w:sz w:val="24"/>
        </w:rPr>
        <w:t>Conformément</w:t>
      </w:r>
      <w:r>
        <w:rPr>
          <w:spacing w:val="40"/>
          <w:sz w:val="24"/>
        </w:rPr>
        <w:t> </w:t>
      </w:r>
      <w:r>
        <w:rPr>
          <w:sz w:val="24"/>
        </w:rPr>
        <w:t>à</w:t>
      </w:r>
      <w:r>
        <w:rPr>
          <w:spacing w:val="40"/>
          <w:sz w:val="24"/>
        </w:rPr>
        <w:t> </w:t>
      </w:r>
      <w:r>
        <w:rPr>
          <w:sz w:val="24"/>
        </w:rPr>
        <w:t>l’article 58,</w:t>
      </w:r>
      <w:r>
        <w:rPr>
          <w:spacing w:val="40"/>
          <w:sz w:val="24"/>
        </w:rPr>
        <w:t> </w:t>
      </w:r>
      <w:r>
        <w:rPr>
          <w:sz w:val="24"/>
        </w:rPr>
        <w:t>paragraphe</w:t>
      </w:r>
      <w:r>
        <w:rPr>
          <w:spacing w:val="-1"/>
          <w:sz w:val="24"/>
        </w:rPr>
        <w:t> </w:t>
      </w:r>
      <w:r>
        <w:rPr>
          <w:sz w:val="24"/>
        </w:rPr>
        <w:t>1,</w:t>
      </w:r>
      <w:r>
        <w:rPr>
          <w:spacing w:val="40"/>
          <w:sz w:val="24"/>
        </w:rPr>
        <w:t> </w:t>
      </w:r>
      <w:r>
        <w:rPr>
          <w:sz w:val="24"/>
        </w:rPr>
        <w:t>point a),</w:t>
      </w:r>
      <w:r>
        <w:rPr>
          <w:spacing w:val="40"/>
          <w:sz w:val="24"/>
        </w:rPr>
        <w:t> </w:t>
      </w:r>
      <w:r>
        <w:rPr>
          <w:sz w:val="24"/>
        </w:rPr>
        <w:t>du</w:t>
      </w:r>
      <w:r>
        <w:rPr>
          <w:spacing w:val="40"/>
          <w:sz w:val="24"/>
        </w:rPr>
        <w:t> </w:t>
      </w:r>
      <w:r>
        <w:rPr>
          <w:sz w:val="24"/>
        </w:rPr>
        <w:t>RMUE,</w:t>
      </w:r>
      <w:r>
        <w:rPr>
          <w:spacing w:val="40"/>
          <w:sz w:val="24"/>
        </w:rPr>
        <w:t> </w:t>
      </w:r>
      <w:r>
        <w:rPr>
          <w:sz w:val="24"/>
        </w:rPr>
        <w:t>le</w:t>
      </w:r>
      <w:r>
        <w:rPr>
          <w:spacing w:val="40"/>
          <w:sz w:val="24"/>
        </w:rPr>
        <w:t> </w:t>
      </w:r>
      <w:r>
        <w:rPr>
          <w:sz w:val="24"/>
        </w:rPr>
        <w:t>titulaire</w:t>
      </w:r>
      <w:r>
        <w:rPr>
          <w:spacing w:val="40"/>
          <w:sz w:val="24"/>
        </w:rPr>
        <w:t> </w:t>
      </w:r>
      <w:r>
        <w:rPr>
          <w:sz w:val="24"/>
        </w:rPr>
        <w:t>de</w:t>
      </w:r>
      <w:r>
        <w:rPr>
          <w:spacing w:val="40"/>
          <w:sz w:val="24"/>
        </w:rPr>
        <w:t> </w:t>
      </w:r>
      <w:r>
        <w:rPr>
          <w:sz w:val="24"/>
        </w:rPr>
        <w:t>la marque de l’Union européenne est déclaré déchu de ses droits, sur demande présentée auprès de l’Office si, pendant une période ininterrompue de cinq ans, la marque n’a pas fait l’objet d’un usage sérieux dans l’Union européenne pour les produits ou les</w:t>
      </w:r>
      <w:r>
        <w:rPr>
          <w:spacing w:val="40"/>
          <w:sz w:val="24"/>
        </w:rPr>
        <w:t> </w:t>
      </w:r>
      <w:r>
        <w:rPr>
          <w:sz w:val="24"/>
        </w:rPr>
        <w:t>services pour lesquels elle est enregistrée, et qu’il n’existe pas de justes motifs pour le </w:t>
      </w:r>
      <w:r>
        <w:rPr>
          <w:spacing w:val="-2"/>
          <w:sz w:val="24"/>
        </w:rPr>
        <w:t>non-usage.</w:t>
      </w:r>
    </w:p>
    <w:p>
      <w:pPr>
        <w:pStyle w:val="ListParagraph"/>
        <w:numPr>
          <w:ilvl w:val="0"/>
          <w:numId w:val="1"/>
        </w:numPr>
        <w:tabs>
          <w:tab w:pos="731" w:val="left" w:leader="none"/>
        </w:tabs>
        <w:spacing w:line="240" w:lineRule="auto" w:before="241" w:after="0"/>
        <w:ind w:left="731" w:right="162" w:hanging="567"/>
        <w:jc w:val="both"/>
        <w:rPr>
          <w:sz w:val="24"/>
        </w:rPr>
      </w:pPr>
      <w:r>
        <w:rPr>
          <w:sz w:val="24"/>
        </w:rPr>
        <w:t>Conformément</w:t>
      </w:r>
      <w:r>
        <w:rPr>
          <w:spacing w:val="40"/>
          <w:sz w:val="24"/>
        </w:rPr>
        <w:t> </w:t>
      </w:r>
      <w:r>
        <w:rPr>
          <w:sz w:val="24"/>
        </w:rPr>
        <w:t>à</w:t>
      </w:r>
      <w:r>
        <w:rPr>
          <w:spacing w:val="40"/>
          <w:sz w:val="24"/>
        </w:rPr>
        <w:t> </w:t>
      </w:r>
      <w:r>
        <w:rPr>
          <w:sz w:val="24"/>
        </w:rPr>
        <w:t>l’article</w:t>
      </w:r>
      <w:r>
        <w:rPr>
          <w:spacing w:val="-1"/>
          <w:sz w:val="24"/>
        </w:rPr>
        <w:t> </w:t>
      </w:r>
      <w:r>
        <w:rPr>
          <w:sz w:val="24"/>
        </w:rPr>
        <w:t>19,</w:t>
      </w:r>
      <w:r>
        <w:rPr>
          <w:spacing w:val="40"/>
          <w:sz w:val="24"/>
        </w:rPr>
        <w:t> </w:t>
      </w:r>
      <w:r>
        <w:rPr>
          <w:sz w:val="24"/>
        </w:rPr>
        <w:t>paragraphe</w:t>
      </w:r>
      <w:r>
        <w:rPr>
          <w:spacing w:val="-2"/>
          <w:sz w:val="24"/>
        </w:rPr>
        <w:t> </w:t>
      </w:r>
      <w:r>
        <w:rPr>
          <w:sz w:val="24"/>
        </w:rPr>
        <w:t>1,</w:t>
      </w:r>
      <w:r>
        <w:rPr>
          <w:spacing w:val="40"/>
          <w:sz w:val="24"/>
        </w:rPr>
        <w:t> </w:t>
      </w:r>
      <w:r>
        <w:rPr>
          <w:sz w:val="24"/>
        </w:rPr>
        <w:t>du</w:t>
      </w:r>
      <w:r>
        <w:rPr>
          <w:spacing w:val="40"/>
          <w:sz w:val="24"/>
        </w:rPr>
        <w:t> </w:t>
      </w:r>
      <w:r>
        <w:rPr>
          <w:sz w:val="24"/>
        </w:rPr>
        <w:t>RDMUE,</w:t>
      </w:r>
      <w:r>
        <w:rPr>
          <w:spacing w:val="40"/>
          <w:sz w:val="24"/>
        </w:rPr>
        <w:t> </w:t>
      </w:r>
      <w:r>
        <w:rPr>
          <w:sz w:val="24"/>
        </w:rPr>
        <w:t>lu</w:t>
      </w:r>
      <w:r>
        <w:rPr>
          <w:spacing w:val="40"/>
          <w:sz w:val="24"/>
        </w:rPr>
        <w:t> </w:t>
      </w:r>
      <w:r>
        <w:rPr>
          <w:sz w:val="24"/>
        </w:rPr>
        <w:t>conjointement</w:t>
      </w:r>
      <w:r>
        <w:rPr>
          <w:spacing w:val="40"/>
          <w:sz w:val="24"/>
        </w:rPr>
        <w:t> </w:t>
      </w:r>
      <w:r>
        <w:rPr>
          <w:sz w:val="24"/>
        </w:rPr>
        <w:t>avec l’article</w:t>
      </w:r>
      <w:r>
        <w:rPr>
          <w:spacing w:val="-3"/>
          <w:sz w:val="24"/>
        </w:rPr>
        <w:t> </w:t>
      </w:r>
      <w:r>
        <w:rPr>
          <w:sz w:val="24"/>
        </w:rPr>
        <w:t>10, paragraphe</w:t>
      </w:r>
      <w:r>
        <w:rPr>
          <w:spacing w:val="-2"/>
          <w:sz w:val="24"/>
        </w:rPr>
        <w:t> </w:t>
      </w:r>
      <w:r>
        <w:rPr>
          <w:sz w:val="24"/>
        </w:rPr>
        <w:t>3, du RDMUE, les indications et les preuves de l’usage doivent établir le lieu, la durée, l’importance et la nature de l’usage qui a été fait de la marque contestée pour les produits et/ou services pour lesquels elle est enregistrée.</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Selon une jurisprudence constante, il ne saurait être exclu qu’un faisceau d’éléments de preuve permette d’établir les faits à démontrer, même si chacun de ces éléments, pris isolément, serait impuissant à rapporter</w:t>
      </w:r>
      <w:r>
        <w:rPr>
          <w:spacing w:val="-1"/>
          <w:sz w:val="24"/>
        </w:rPr>
        <w:t> </w:t>
      </w:r>
      <w:r>
        <w:rPr>
          <w:sz w:val="24"/>
        </w:rPr>
        <w:t>la preuve de</w:t>
      </w:r>
      <w:r>
        <w:rPr>
          <w:spacing w:val="-1"/>
          <w:sz w:val="24"/>
        </w:rPr>
        <w:t> </w:t>
      </w:r>
      <w:r>
        <w:rPr>
          <w:sz w:val="24"/>
        </w:rPr>
        <w:t>l’exactitude</w:t>
      </w:r>
      <w:r>
        <w:rPr>
          <w:spacing w:val="-1"/>
          <w:sz w:val="24"/>
        </w:rPr>
        <w:t> </w:t>
      </w:r>
      <w:r>
        <w:rPr>
          <w:sz w:val="24"/>
        </w:rPr>
        <w:t>de</w:t>
      </w:r>
      <w:r>
        <w:rPr>
          <w:spacing w:val="-1"/>
          <w:sz w:val="24"/>
        </w:rPr>
        <w:t> </w:t>
      </w:r>
      <w:r>
        <w:rPr>
          <w:sz w:val="24"/>
        </w:rPr>
        <w:t>ces faits. La</w:t>
      </w:r>
      <w:r>
        <w:rPr>
          <w:spacing w:val="-1"/>
          <w:sz w:val="24"/>
        </w:rPr>
        <w:t> </w:t>
      </w:r>
      <w:r>
        <w:rPr>
          <w:sz w:val="24"/>
        </w:rPr>
        <w:t>preuve de l’usage sérieux de la marque antérieure doit donc être établie en tenant compte de tous les éléments de preuve présentés (-23/09/2020, T 601/19, in.fi.ni.tu.de/Infinite et al., EU:T:2020:422, § 44, 47 et jurisprudence citée).</w:t>
      </w:r>
    </w:p>
    <w:p>
      <w:pPr>
        <w:pStyle w:val="ListParagraph"/>
        <w:numPr>
          <w:ilvl w:val="0"/>
          <w:numId w:val="1"/>
        </w:numPr>
        <w:tabs>
          <w:tab w:pos="731" w:val="left" w:leader="none"/>
        </w:tabs>
        <w:spacing w:line="240" w:lineRule="auto" w:before="241" w:after="0"/>
        <w:ind w:left="731" w:right="161" w:hanging="567"/>
        <w:jc w:val="both"/>
        <w:rPr>
          <w:sz w:val="24"/>
        </w:rPr>
      </w:pPr>
      <w:r>
        <w:rPr>
          <w:sz w:val="24"/>
        </w:rPr>
        <w:t>Une</w:t>
      </w:r>
      <w:r>
        <w:rPr>
          <w:spacing w:val="-4"/>
          <w:sz w:val="24"/>
        </w:rPr>
        <w:t> </w:t>
      </w:r>
      <w:r>
        <w:rPr>
          <w:sz w:val="24"/>
        </w:rPr>
        <w:t>marque</w:t>
      </w:r>
      <w:r>
        <w:rPr>
          <w:spacing w:val="-3"/>
          <w:sz w:val="24"/>
        </w:rPr>
        <w:t> </w:t>
      </w:r>
      <w:r>
        <w:rPr>
          <w:sz w:val="24"/>
        </w:rPr>
        <w:t>fait</w:t>
      </w:r>
      <w:r>
        <w:rPr>
          <w:spacing w:val="-2"/>
          <w:sz w:val="24"/>
        </w:rPr>
        <w:t> </w:t>
      </w:r>
      <w:r>
        <w:rPr>
          <w:sz w:val="24"/>
        </w:rPr>
        <w:t>l’objet</w:t>
      </w:r>
      <w:r>
        <w:rPr>
          <w:spacing w:val="-2"/>
          <w:sz w:val="24"/>
        </w:rPr>
        <w:t> </w:t>
      </w:r>
      <w:r>
        <w:rPr>
          <w:sz w:val="24"/>
        </w:rPr>
        <w:t>d’un «usage</w:t>
      </w:r>
      <w:r>
        <w:rPr>
          <w:spacing w:val="-3"/>
          <w:sz w:val="24"/>
        </w:rPr>
        <w:t> </w:t>
      </w:r>
      <w:r>
        <w:rPr>
          <w:sz w:val="24"/>
        </w:rPr>
        <w:t>sérieux»</w:t>
      </w:r>
      <w:r>
        <w:rPr>
          <w:spacing w:val="-10"/>
          <w:sz w:val="24"/>
        </w:rPr>
        <w:t> </w:t>
      </w:r>
      <w:r>
        <w:rPr>
          <w:sz w:val="24"/>
        </w:rPr>
        <w:t>lorsqu’elle</w:t>
      </w:r>
      <w:r>
        <w:rPr>
          <w:spacing w:val="-3"/>
          <w:sz w:val="24"/>
        </w:rPr>
        <w:t> </w:t>
      </w:r>
      <w:r>
        <w:rPr>
          <w:sz w:val="24"/>
        </w:rPr>
        <w:t>est</w:t>
      </w:r>
      <w:r>
        <w:rPr>
          <w:spacing w:val="-2"/>
          <w:sz w:val="24"/>
        </w:rPr>
        <w:t> </w:t>
      </w:r>
      <w:r>
        <w:rPr>
          <w:sz w:val="24"/>
        </w:rPr>
        <w:t>utilisée,</w:t>
      </w:r>
      <w:r>
        <w:rPr>
          <w:spacing w:val="-2"/>
          <w:sz w:val="24"/>
        </w:rPr>
        <w:t> </w:t>
      </w:r>
      <w:r>
        <w:rPr>
          <w:sz w:val="24"/>
        </w:rPr>
        <w:t>conformément</w:t>
      </w:r>
      <w:r>
        <w:rPr>
          <w:spacing w:val="-2"/>
          <w:sz w:val="24"/>
        </w:rPr>
        <w:t> </w:t>
      </w:r>
      <w:r>
        <w:rPr>
          <w:sz w:val="24"/>
        </w:rPr>
        <w:t>à</w:t>
      </w:r>
      <w:r>
        <w:rPr>
          <w:spacing w:val="-3"/>
          <w:sz w:val="24"/>
        </w:rPr>
        <w:t> </w:t>
      </w:r>
      <w:r>
        <w:rPr>
          <w:sz w:val="24"/>
        </w:rPr>
        <w:t>sa fonction essentielle en tant que marque, qui est de garantir l’identité d’origine des produits ou des services pour lesquels elle a été enregistrée, aux fins de créer ou de conserver un débouché pour ces produits et services; à l’exclusion d’usages de</w:t>
      </w:r>
      <w:r>
        <w:rPr>
          <w:spacing w:val="80"/>
          <w:sz w:val="24"/>
        </w:rPr>
        <w:t> </w:t>
      </w:r>
      <w:r>
        <w:rPr>
          <w:sz w:val="24"/>
        </w:rPr>
        <w:t>caractère symbolique ayant pour seul objet le maintien des droits conférés par la</w:t>
      </w:r>
      <w:r>
        <w:rPr>
          <w:spacing w:val="40"/>
          <w:sz w:val="24"/>
        </w:rPr>
        <w:t> </w:t>
      </w:r>
      <w:r>
        <w:rPr>
          <w:sz w:val="24"/>
        </w:rPr>
        <w:t>marque (11/03/2003,-40/01, Minimax, EU:C:2003:145, § 43). De plus, la condition relative à</w:t>
      </w:r>
      <w:r>
        <w:rPr>
          <w:spacing w:val="-1"/>
          <w:sz w:val="24"/>
        </w:rPr>
        <w:t> </w:t>
      </w:r>
      <w:r>
        <w:rPr>
          <w:sz w:val="24"/>
        </w:rPr>
        <w:t>l’usage</w:t>
      </w:r>
      <w:r>
        <w:rPr>
          <w:spacing w:val="-1"/>
          <w:sz w:val="24"/>
        </w:rPr>
        <w:t> </w:t>
      </w:r>
      <w:r>
        <w:rPr>
          <w:sz w:val="24"/>
        </w:rPr>
        <w:t>sérieux de</w:t>
      </w:r>
      <w:r>
        <w:rPr>
          <w:spacing w:val="-1"/>
          <w:sz w:val="24"/>
        </w:rPr>
        <w:t> </w:t>
      </w:r>
      <w:r>
        <w:rPr>
          <w:sz w:val="24"/>
        </w:rPr>
        <w:t>la marque exige que celle-ci, telle</w:t>
      </w:r>
      <w:r>
        <w:rPr>
          <w:spacing w:val="-1"/>
          <w:sz w:val="24"/>
        </w:rPr>
        <w:t> </w:t>
      </w:r>
      <w:r>
        <w:rPr>
          <w:sz w:val="24"/>
        </w:rPr>
        <w:t>qu’elle</w:t>
      </w:r>
      <w:r>
        <w:rPr>
          <w:spacing w:val="-1"/>
          <w:sz w:val="24"/>
        </w:rPr>
        <w:t> </w:t>
      </w:r>
      <w:r>
        <w:rPr>
          <w:sz w:val="24"/>
        </w:rPr>
        <w:t>est protégée dans le territoire pertinent, soit utilisée publiquement et vers l’extérieur (11/03/2003,-40/01,</w:t>
      </w:r>
    </w:p>
    <w:p>
      <w:pPr>
        <w:pStyle w:val="BodyText"/>
        <w:spacing w:before="202"/>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BodyText"/>
        <w:spacing w:before="204"/>
        <w:ind w:left="731"/>
      </w:pPr>
      <w:r>
        <w:rPr/>
        <mc:AlternateContent>
          <mc:Choice Requires="wps">
            <w:drawing>
              <wp:anchor distT="0" distB="0" distL="0" distR="0" allowOverlap="1" layoutInCell="1" locked="0" behindDoc="0" simplePos="0" relativeHeight="15740928">
                <wp:simplePos x="0" y="0"/>
                <wp:positionH relativeFrom="page">
                  <wp:posOffset>270575</wp:posOffset>
                </wp:positionH>
                <wp:positionV relativeFrom="page">
                  <wp:posOffset>1114363</wp:posOffset>
                </wp:positionV>
                <wp:extent cx="146050" cy="921004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0928" type="#_x0000_t202" id="docshape2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t>Minimax,</w:t>
      </w:r>
      <w:r>
        <w:rPr>
          <w:spacing w:val="62"/>
          <w:w w:val="150"/>
        </w:rPr>
        <w:t> </w:t>
      </w:r>
      <w:r>
        <w:rPr/>
        <w:t>EU:C:2003:145,</w:t>
      </w:r>
      <w:r>
        <w:rPr>
          <w:spacing w:val="64"/>
          <w:w w:val="150"/>
        </w:rPr>
        <w:t> </w:t>
      </w:r>
      <w:r>
        <w:rPr/>
        <w:t>§</w:t>
      </w:r>
      <w:r>
        <w:rPr>
          <w:spacing w:val="64"/>
          <w:w w:val="150"/>
        </w:rPr>
        <w:t> </w:t>
      </w:r>
      <w:r>
        <w:rPr/>
        <w:t>37;</w:t>
      </w:r>
      <w:r>
        <w:rPr>
          <w:spacing w:val="65"/>
          <w:w w:val="150"/>
        </w:rPr>
        <w:t> </w:t>
      </w:r>
      <w:r>
        <w:rPr/>
        <w:t>04/04/2019,-910/16</w:t>
      </w:r>
      <w:r>
        <w:rPr>
          <w:spacing w:val="65"/>
          <w:w w:val="150"/>
        </w:rPr>
        <w:t> </w:t>
      </w:r>
      <w:r>
        <w:rPr/>
        <w:t>indirects</w:t>
      </w:r>
      <w:r>
        <w:rPr>
          <w:spacing w:val="65"/>
          <w:w w:val="150"/>
        </w:rPr>
        <w:t> </w:t>
      </w:r>
      <w:r>
        <w:rPr/>
        <w:t>T-911/16,</w:t>
      </w:r>
      <w:r>
        <w:rPr>
          <w:spacing w:val="65"/>
          <w:w w:val="150"/>
        </w:rPr>
        <w:t> </w:t>
      </w:r>
      <w:r>
        <w:rPr>
          <w:spacing w:val="-2"/>
        </w:rPr>
        <w:t>TESTA</w:t>
      </w:r>
    </w:p>
    <w:p>
      <w:pPr>
        <w:pStyle w:val="BodyText"/>
        <w:ind w:left="731"/>
      </w:pPr>
      <w:r>
        <w:rPr/>
        <w:t>ROSSA</w:t>
      </w:r>
      <w:r>
        <w:rPr>
          <w:spacing w:val="-4"/>
        </w:rPr>
        <w:t> </w:t>
      </w:r>
      <w:r>
        <w:rPr/>
        <w:t>(fig.),</w:t>
      </w:r>
      <w:r>
        <w:rPr>
          <w:spacing w:val="-4"/>
        </w:rPr>
        <w:t> </w:t>
      </w:r>
      <w:r>
        <w:rPr/>
        <w:t>EU:T:2019:221,</w:t>
      </w:r>
      <w:r>
        <w:rPr>
          <w:spacing w:val="-4"/>
        </w:rPr>
        <w:t> </w:t>
      </w:r>
      <w:r>
        <w:rPr/>
        <w:t>§</w:t>
      </w:r>
      <w:r>
        <w:rPr>
          <w:spacing w:val="-4"/>
        </w:rPr>
        <w:t> </w:t>
      </w:r>
      <w:r>
        <w:rPr/>
        <w:t>29</w:t>
      </w:r>
      <w:r>
        <w:rPr>
          <w:spacing w:val="-4"/>
        </w:rPr>
        <w:t> </w:t>
      </w:r>
      <w:r>
        <w:rPr/>
        <w:t>et</w:t>
      </w:r>
      <w:r>
        <w:rPr>
          <w:spacing w:val="-4"/>
        </w:rPr>
        <w:t> </w:t>
      </w:r>
      <w:r>
        <w:rPr/>
        <w:t>jurisprudence</w:t>
      </w:r>
      <w:r>
        <w:rPr>
          <w:spacing w:val="-5"/>
        </w:rPr>
        <w:t> </w:t>
      </w:r>
      <w:r>
        <w:rPr/>
        <w:t>citée;</w:t>
      </w:r>
      <w:r>
        <w:rPr>
          <w:spacing w:val="-4"/>
        </w:rPr>
        <w:t> </w:t>
      </w:r>
      <w:r>
        <w:rPr/>
        <w:t>09/09/2015,-584/14,</w:t>
      </w:r>
      <w:r>
        <w:rPr>
          <w:spacing w:val="-4"/>
        </w:rPr>
        <w:t> </w:t>
      </w:r>
      <w:r>
        <w:rPr/>
        <w:t>ZARA, EU:T:2015:604, § 17 et jurisprudence citée).</w:t>
      </w:r>
    </w:p>
    <w:p>
      <w:pPr>
        <w:pStyle w:val="ListParagraph"/>
        <w:numPr>
          <w:ilvl w:val="0"/>
          <w:numId w:val="1"/>
        </w:numPr>
        <w:tabs>
          <w:tab w:pos="731" w:val="left" w:leader="none"/>
        </w:tabs>
        <w:spacing w:line="240" w:lineRule="auto" w:before="240" w:after="0"/>
        <w:ind w:left="731" w:right="161" w:hanging="567"/>
        <w:jc w:val="both"/>
        <w:rPr>
          <w:sz w:val="24"/>
        </w:rPr>
      </w:pPr>
      <w:r>
        <w:rPr>
          <w:sz w:val="24"/>
        </w:rPr>
        <w:t>À cet égard, il convient de rappeler que, si la notion d’usage sérieux exclut tout usage minimal et insuffisant pour considérer qu’une marque fait l’objet d’un usage réel et effectif sur un marché déterminé, néanmoins, l’exigence d’un usage sérieux ne vise ni à évaluer la réussite commerciale ni à contrôler la stratégie économique d’une entreprise ou encore à réserver la protection des marques à leurs seules exploitations</w:t>
      </w:r>
      <w:r>
        <w:rPr>
          <w:spacing w:val="40"/>
          <w:sz w:val="24"/>
        </w:rPr>
        <w:t> </w:t>
      </w:r>
      <w:r>
        <w:rPr>
          <w:sz w:val="24"/>
        </w:rPr>
        <w:t>commerciales quantitativement importantes (30/01/2015, T-278/13, now, EU:T:2015:57, § 45 et jurisprudence citée).</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L’appréciation du caractère sérieux de l’usage de la marque doit reposer sur l’ensemble des faits et des circonstances propres à établir la réalité de l’exploitation commerciale</w:t>
      </w:r>
      <w:r>
        <w:rPr>
          <w:spacing w:val="40"/>
          <w:sz w:val="24"/>
        </w:rPr>
        <w:t> </w:t>
      </w:r>
      <w:r>
        <w:rPr>
          <w:sz w:val="24"/>
        </w:rPr>
        <w:t>de celle-ci, en particulier les usages considérés comme justifiés dans le secteur économique concerné pour maintenir ou créer des parts de marché au profit des</w:t>
      </w:r>
      <w:r>
        <w:rPr>
          <w:spacing w:val="40"/>
          <w:sz w:val="24"/>
        </w:rPr>
        <w:t> </w:t>
      </w:r>
      <w:r>
        <w:rPr>
          <w:sz w:val="24"/>
        </w:rPr>
        <w:t>produits ou des services protégés par la marque, la nature de ces produits ou de ces services, les caractéristiques du marché, l’étendue et la fréquence de l’usage de la marque &amp;bra; 29/04/2020, T-78/19, green cycles (fig.), EU:T:2020:166, § 24 et jurisprudence citée &amp;ket;.</w:t>
      </w:r>
    </w:p>
    <w:p>
      <w:pPr>
        <w:pStyle w:val="ListParagraph"/>
        <w:numPr>
          <w:ilvl w:val="0"/>
          <w:numId w:val="1"/>
        </w:numPr>
        <w:tabs>
          <w:tab w:pos="731" w:val="left" w:leader="none"/>
        </w:tabs>
        <w:spacing w:line="240" w:lineRule="auto" w:before="241" w:after="0"/>
        <w:ind w:left="731" w:right="159" w:hanging="567"/>
        <w:jc w:val="both"/>
        <w:rPr>
          <w:sz w:val="24"/>
        </w:rPr>
      </w:pPr>
      <w:r>
        <w:rPr>
          <w:sz w:val="24"/>
        </w:rPr>
        <w:t>L’usage sérieux d’une marque au sens de l’article 58, paragraphe</w:t>
      </w:r>
      <w:r>
        <w:rPr>
          <w:spacing w:val="-3"/>
          <w:sz w:val="24"/>
        </w:rPr>
        <w:t> </w:t>
      </w:r>
      <w:r>
        <w:rPr>
          <w:sz w:val="24"/>
        </w:rPr>
        <w:t>1, point</w:t>
      </w:r>
      <w:r>
        <w:rPr>
          <w:spacing w:val="-1"/>
          <w:sz w:val="24"/>
        </w:rPr>
        <w:t> </w:t>
      </w:r>
      <w:r>
        <w:rPr>
          <w:sz w:val="24"/>
        </w:rPr>
        <w:t>a), du RMUE lu conjointement avec l’article 18 du RMUE doit s’entendre d’un usage réel qui n’est pas effectué à titre symbolique, aux seules fins du maintien des droits conférés par la marque (usage fictif). Un «usage sérieux» de la marque suppose une utilisation de</w:t>
      </w:r>
      <w:r>
        <w:rPr>
          <w:spacing w:val="80"/>
          <w:sz w:val="24"/>
        </w:rPr>
        <w:t> </w:t>
      </w:r>
      <w:r>
        <w:rPr>
          <w:sz w:val="24"/>
        </w:rPr>
        <w:t>celle-ci sur le marché pertinent et pas seulement au sein de l’entreprise concernée (27/09/2007,-418/03, La Mer, EU:T:2007:299, § 54; 11/03/2003,-40/01, Minimax, EU:C:2003:145, § 36-37).</w:t>
      </w:r>
    </w:p>
    <w:p>
      <w:pPr>
        <w:pStyle w:val="ListParagraph"/>
        <w:numPr>
          <w:ilvl w:val="0"/>
          <w:numId w:val="1"/>
        </w:numPr>
        <w:tabs>
          <w:tab w:pos="731" w:val="left" w:leader="none"/>
        </w:tabs>
        <w:spacing w:line="240" w:lineRule="auto" w:before="241" w:after="0"/>
        <w:ind w:left="731" w:right="161" w:hanging="567"/>
        <w:jc w:val="both"/>
        <w:rPr>
          <w:sz w:val="24"/>
        </w:rPr>
      </w:pPr>
      <w:r>
        <w:rPr>
          <w:sz w:val="24"/>
        </w:rPr>
        <w:t>Conformément à l’article</w:t>
      </w:r>
      <w:r>
        <w:rPr>
          <w:spacing w:val="-2"/>
          <w:sz w:val="24"/>
        </w:rPr>
        <w:t> </w:t>
      </w:r>
      <w:r>
        <w:rPr>
          <w:sz w:val="24"/>
        </w:rPr>
        <w:t>10, paragraphe</w:t>
      </w:r>
      <w:r>
        <w:rPr>
          <w:spacing w:val="-2"/>
          <w:sz w:val="24"/>
        </w:rPr>
        <w:t> </w:t>
      </w:r>
      <w:r>
        <w:rPr>
          <w:sz w:val="24"/>
        </w:rPr>
        <w:t>3, du RDMUE, les preuves de l’usage d’une marque concernent le lieu, la durée, l’importance et la nature de l’usage de ladite marque. Il n’est pas nécessaire que chaque élément de preuve donne des informations sur chacun de ces quatre éléments. Ainsi, pris ensemble, des éléments de preuve peuvent établir les faits à démontrer, alors même que chacun de ces éléments, pris isolément, serait impuissant à rapporter la preuve de l’exactitude de ces faits (16/11/2011,-308/06, Buffalo Milke, EU:T:2011:675, § 61; 24/05/2012, 152/11-, Mad, EU:T:2012:263, § 33, 34).</w:t>
      </w:r>
    </w:p>
    <w:p>
      <w:pPr>
        <w:pStyle w:val="ListParagraph"/>
        <w:numPr>
          <w:ilvl w:val="0"/>
          <w:numId w:val="1"/>
        </w:numPr>
        <w:tabs>
          <w:tab w:pos="731" w:val="left" w:leader="none"/>
        </w:tabs>
        <w:spacing w:line="240" w:lineRule="auto" w:before="240" w:after="0"/>
        <w:ind w:left="731" w:right="161" w:hanging="567"/>
        <w:jc w:val="both"/>
        <w:rPr>
          <w:sz w:val="24"/>
        </w:rPr>
      </w:pPr>
      <w:r>
        <w:rPr>
          <w:sz w:val="24"/>
        </w:rPr>
        <w:t>L’usage sérieux d’une marque ne peut pas être démontré par des probabilités ou des présomptions, mais doit reposer sur des éléments concrets et objectifs qui prouvent une utilisation effective et suffisante de la marque sur le marché concerné (12/12/2002-, 39/01, Hiwatt, EU:T:2002:316, § 47).</w:t>
      </w:r>
    </w:p>
    <w:p>
      <w:pPr>
        <w:pStyle w:val="ListParagraph"/>
        <w:numPr>
          <w:ilvl w:val="0"/>
          <w:numId w:val="1"/>
        </w:numPr>
        <w:tabs>
          <w:tab w:pos="731" w:val="left" w:leader="none"/>
        </w:tabs>
        <w:spacing w:line="240" w:lineRule="auto" w:before="241" w:after="0"/>
        <w:ind w:left="731" w:right="160" w:hanging="567"/>
        <w:jc w:val="both"/>
        <w:rPr>
          <w:sz w:val="24"/>
        </w:rPr>
      </w:pPr>
      <w:r>
        <w:rPr>
          <w:sz w:val="24"/>
        </w:rPr>
        <w:t>Dans le cadre d’une procédure de déchéance, contestant l’usage sérieux d’une marque pour les produits et services enregistrés, il incombe au titulaire de la marque d’apporter la preuve</w:t>
      </w:r>
      <w:r>
        <w:rPr>
          <w:spacing w:val="-1"/>
          <w:sz w:val="24"/>
        </w:rPr>
        <w:t> </w:t>
      </w:r>
      <w:r>
        <w:rPr>
          <w:sz w:val="24"/>
        </w:rPr>
        <w:t>d’un tel usage sérieux pour chacun des produits et services en cause. À défaut d’une</w:t>
      </w:r>
      <w:r>
        <w:rPr>
          <w:spacing w:val="-3"/>
          <w:sz w:val="24"/>
        </w:rPr>
        <w:t> </w:t>
      </w:r>
      <w:r>
        <w:rPr>
          <w:sz w:val="24"/>
        </w:rPr>
        <w:t>telle</w:t>
      </w:r>
      <w:r>
        <w:rPr>
          <w:spacing w:val="-2"/>
          <w:sz w:val="24"/>
        </w:rPr>
        <w:t> </w:t>
      </w:r>
      <w:r>
        <w:rPr>
          <w:sz w:val="24"/>
        </w:rPr>
        <w:t>preuve,</w:t>
      </w:r>
      <w:r>
        <w:rPr>
          <w:spacing w:val="-1"/>
          <w:sz w:val="24"/>
        </w:rPr>
        <w:t> </w:t>
      </w:r>
      <w:r>
        <w:rPr>
          <w:sz w:val="24"/>
        </w:rPr>
        <w:t>la</w:t>
      </w:r>
      <w:r>
        <w:rPr>
          <w:spacing w:val="-2"/>
          <w:sz w:val="24"/>
        </w:rPr>
        <w:t> </w:t>
      </w:r>
      <w:r>
        <w:rPr>
          <w:sz w:val="24"/>
        </w:rPr>
        <w:t>déchéance</w:t>
      </w:r>
      <w:r>
        <w:rPr>
          <w:spacing w:val="-2"/>
          <w:sz w:val="24"/>
        </w:rPr>
        <w:t> </w:t>
      </w:r>
      <w:r>
        <w:rPr>
          <w:sz w:val="24"/>
        </w:rPr>
        <w:t>de</w:t>
      </w:r>
      <w:r>
        <w:rPr>
          <w:spacing w:val="-2"/>
          <w:sz w:val="24"/>
        </w:rPr>
        <w:t> </w:t>
      </w:r>
      <w:r>
        <w:rPr>
          <w:sz w:val="24"/>
        </w:rPr>
        <w:t>la</w:t>
      </w:r>
      <w:r>
        <w:rPr>
          <w:spacing w:val="-2"/>
          <w:sz w:val="24"/>
        </w:rPr>
        <w:t> </w:t>
      </w:r>
      <w:r>
        <w:rPr>
          <w:sz w:val="24"/>
        </w:rPr>
        <w:t>protection</w:t>
      </w:r>
      <w:r>
        <w:rPr>
          <w:spacing w:val="-1"/>
          <w:sz w:val="24"/>
        </w:rPr>
        <w:t> </w:t>
      </w:r>
      <w:r>
        <w:rPr>
          <w:sz w:val="24"/>
        </w:rPr>
        <w:t>accordée</w:t>
      </w:r>
      <w:r>
        <w:rPr>
          <w:spacing w:val="-2"/>
          <w:sz w:val="24"/>
        </w:rPr>
        <w:t> </w:t>
      </w:r>
      <w:r>
        <w:rPr>
          <w:sz w:val="24"/>
        </w:rPr>
        <w:t>à</w:t>
      </w:r>
      <w:r>
        <w:rPr>
          <w:spacing w:val="-2"/>
          <w:sz w:val="24"/>
        </w:rPr>
        <w:t> </w:t>
      </w:r>
      <w:r>
        <w:rPr>
          <w:sz w:val="24"/>
        </w:rPr>
        <w:t>la</w:t>
      </w:r>
      <w:r>
        <w:rPr>
          <w:spacing w:val="-2"/>
          <w:sz w:val="24"/>
        </w:rPr>
        <w:t> </w:t>
      </w:r>
      <w:r>
        <w:rPr>
          <w:sz w:val="24"/>
        </w:rPr>
        <w:t>marque</w:t>
      </w:r>
      <w:r>
        <w:rPr>
          <w:spacing w:val="-2"/>
          <w:sz w:val="24"/>
        </w:rPr>
        <w:t> </w:t>
      </w:r>
      <w:r>
        <w:rPr>
          <w:sz w:val="24"/>
        </w:rPr>
        <w:t>pour ces</w:t>
      </w:r>
      <w:r>
        <w:rPr>
          <w:spacing w:val="-1"/>
          <w:sz w:val="24"/>
        </w:rPr>
        <w:t> </w:t>
      </w:r>
      <w:r>
        <w:rPr>
          <w:sz w:val="24"/>
        </w:rPr>
        <w:t>produits et services doit être prononcée (voir, par analogie,-23/09/2020, 601/19, in.fi.ni.tu.de/Infinite et al., EU:T:2020:422, § 72 et jurisprudence citée).</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ListParagraph"/>
        <w:numPr>
          <w:ilvl w:val="0"/>
          <w:numId w:val="1"/>
        </w:numPr>
        <w:tabs>
          <w:tab w:pos="731" w:val="left" w:leader="none"/>
        </w:tabs>
        <w:spacing w:line="240" w:lineRule="auto" w:before="204" w:after="0"/>
        <w:ind w:left="731" w:right="168" w:hanging="567"/>
        <w:jc w:val="both"/>
        <w:rPr>
          <w:sz w:val="24"/>
        </w:rPr>
      </w:pPr>
      <w:r>
        <w:rPr>
          <w:sz w:val="24"/>
        </w:rPr>
        <mc:AlternateContent>
          <mc:Choice Requires="wps">
            <w:drawing>
              <wp:anchor distT="0" distB="0" distL="0" distR="0" allowOverlap="1" layoutInCell="1" locked="0" behindDoc="0" simplePos="0" relativeHeight="15741440">
                <wp:simplePos x="0" y="0"/>
                <wp:positionH relativeFrom="page">
                  <wp:posOffset>270575</wp:posOffset>
                </wp:positionH>
                <wp:positionV relativeFrom="page">
                  <wp:posOffset>1114363</wp:posOffset>
                </wp:positionV>
                <wp:extent cx="146050" cy="921004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1440" type="#_x0000_t202" id="docshape2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4"/>
        </w:rPr>
        <w:t>C’est à la lumière de ces considérations qu’il convient de répondre aux griefs de la titulaire de la marque de l’Union européenne.</w:t>
      </w:r>
    </w:p>
    <w:p>
      <w:pPr>
        <w:pStyle w:val="ListParagraph"/>
        <w:numPr>
          <w:ilvl w:val="0"/>
          <w:numId w:val="1"/>
        </w:numPr>
        <w:tabs>
          <w:tab w:pos="731" w:val="left" w:leader="none"/>
        </w:tabs>
        <w:spacing w:line="240" w:lineRule="auto" w:before="240" w:after="0"/>
        <w:ind w:left="731" w:right="163" w:hanging="567"/>
        <w:jc w:val="both"/>
        <w:rPr>
          <w:i/>
          <w:sz w:val="24"/>
        </w:rPr>
      </w:pPr>
      <w:r>
        <w:rPr>
          <w:sz w:val="24"/>
        </w:rPr>
        <w:t>Lamarque de l’Union européenne contestée a été enregistrée le 27 mai 2015. La demande en déchéance a été déposée le 2 mars 2023. Par conséquent, la MUE était enregistrée depuis plus de cinq ans à la date de dépôt de la demande; La titulaire de la marque de l’Union européenne devait prouver l’usage sérieux de la marque de l’Union européenne contestée au cours des cinq années précédant la date de la demande en déchéance, c’est-à-dire du 2 mars 2018 au 1 mars 2023 inclus. Lachambre de recours</w:t>
      </w:r>
      <w:r>
        <w:rPr>
          <w:spacing w:val="40"/>
          <w:sz w:val="24"/>
        </w:rPr>
        <w:t> </w:t>
      </w:r>
      <w:r>
        <w:rPr>
          <w:sz w:val="24"/>
        </w:rPr>
        <w:t>est invitée à examiner le refus de la division d’annulation de reconnaître que les éléments de preuve produits établissent l’usage sérieux de la marque contestée pour des </w:t>
      </w:r>
      <w:r>
        <w:rPr>
          <w:i/>
          <w:sz w:val="24"/>
        </w:rPr>
        <w:t>chaussures </w:t>
      </w:r>
      <w:r>
        <w:rPr>
          <w:sz w:val="24"/>
        </w:rPr>
        <w:t>par opposition à la sous-catégorie des </w:t>
      </w:r>
      <w:r>
        <w:rPr>
          <w:i/>
          <w:sz w:val="24"/>
        </w:rPr>
        <w:t>chaussures pour femmes </w:t>
      </w:r>
      <w:r>
        <w:rPr>
          <w:sz w:val="24"/>
        </w:rPr>
        <w:t>et l’exactitude de la définition de ladite sous-catégorie</w:t>
      </w:r>
      <w:r>
        <w:rPr>
          <w:i/>
          <w:sz w:val="24"/>
        </w:rPr>
        <w:t>.</w:t>
      </w:r>
    </w:p>
    <w:p>
      <w:pPr>
        <w:pStyle w:val="BodyText"/>
        <w:spacing w:before="85"/>
        <w:rPr>
          <w:i/>
        </w:rPr>
      </w:pPr>
    </w:p>
    <w:p>
      <w:pPr>
        <w:spacing w:before="0"/>
        <w:ind w:left="731" w:right="0" w:firstLine="0"/>
        <w:jc w:val="both"/>
        <w:rPr>
          <w:i/>
          <w:sz w:val="24"/>
        </w:rPr>
      </w:pPr>
      <w:r>
        <w:rPr>
          <w:i/>
          <w:sz w:val="24"/>
        </w:rPr>
        <w:t>Définition</w:t>
      </w:r>
      <w:r>
        <w:rPr>
          <w:i/>
          <w:spacing w:val="-3"/>
          <w:sz w:val="24"/>
        </w:rPr>
        <w:t> </w:t>
      </w:r>
      <w:r>
        <w:rPr>
          <w:i/>
          <w:sz w:val="24"/>
        </w:rPr>
        <w:t>de sous-catégories</w:t>
      </w:r>
      <w:r>
        <w:rPr>
          <w:i/>
          <w:spacing w:val="-1"/>
          <w:sz w:val="24"/>
        </w:rPr>
        <w:t> </w:t>
      </w:r>
      <w:r>
        <w:rPr>
          <w:i/>
          <w:sz w:val="24"/>
        </w:rPr>
        <w:t>de</w:t>
      </w:r>
      <w:r>
        <w:rPr>
          <w:i/>
          <w:spacing w:val="-1"/>
          <w:sz w:val="24"/>
        </w:rPr>
        <w:t> </w:t>
      </w:r>
      <w:r>
        <w:rPr>
          <w:i/>
          <w:sz w:val="24"/>
        </w:rPr>
        <w:t>produits</w:t>
      </w:r>
      <w:r>
        <w:rPr>
          <w:i/>
          <w:spacing w:val="-1"/>
          <w:sz w:val="24"/>
        </w:rPr>
        <w:t> </w:t>
      </w:r>
      <w:r>
        <w:rPr>
          <w:i/>
          <w:sz w:val="24"/>
        </w:rPr>
        <w:t>et de</w:t>
      </w:r>
      <w:r>
        <w:rPr>
          <w:i/>
          <w:spacing w:val="-2"/>
          <w:sz w:val="24"/>
        </w:rPr>
        <w:t> </w:t>
      </w:r>
      <w:r>
        <w:rPr>
          <w:i/>
          <w:sz w:val="24"/>
        </w:rPr>
        <w:t>services en</w:t>
      </w:r>
      <w:r>
        <w:rPr>
          <w:i/>
          <w:spacing w:val="1"/>
          <w:sz w:val="24"/>
        </w:rPr>
        <w:t> </w:t>
      </w:r>
      <w:r>
        <w:rPr>
          <w:i/>
          <w:sz w:val="24"/>
        </w:rPr>
        <w:t>cas d’usage</w:t>
      </w:r>
      <w:r>
        <w:rPr>
          <w:i/>
          <w:spacing w:val="-2"/>
          <w:sz w:val="24"/>
        </w:rPr>
        <w:t> partiel</w:t>
      </w:r>
    </w:p>
    <w:p>
      <w:pPr>
        <w:pStyle w:val="ListParagraph"/>
        <w:numPr>
          <w:ilvl w:val="0"/>
          <w:numId w:val="1"/>
        </w:numPr>
        <w:tabs>
          <w:tab w:pos="731" w:val="left" w:leader="none"/>
        </w:tabs>
        <w:spacing w:line="240" w:lineRule="auto" w:before="240" w:after="0"/>
        <w:ind w:left="731" w:right="162" w:hanging="567"/>
        <w:jc w:val="both"/>
        <w:rPr>
          <w:sz w:val="24"/>
        </w:rPr>
      </w:pPr>
      <w:r>
        <w:rPr>
          <w:sz w:val="24"/>
        </w:rPr>
        <w:t>Il convient de rappeler qu’un consommateur qui souhaite acheter un produit ou un service dans une catégorie de produits ou de services définie de façon particulièrement précise et circonscrite, mais à l’intérieur de laquelle il n’est pas possible d’opérer des divisions significatives, associera tous les produits ou services appartenant à cette catégorie à une marque enregistrée pour cette catégorie de produits ou de services, de sorte que cette marque remplira sa fonction essentielle de garantie de l’origine de ces produits ou de ces services. Dès lors, il suffit d’exiger du titulaire d’une telle marque qu’il apporte la preuve de l’usage sérieux de sa marque pour une partie des produits ou des services de cette catégorie homogène (22/10/2020-, 720/18 indirects-C 721/18, Ferrari SpA, EU:C:2020:854, § 37 et jurisprudence citée).</w:t>
      </w:r>
    </w:p>
    <w:p>
      <w:pPr>
        <w:pStyle w:val="ListParagraph"/>
        <w:numPr>
          <w:ilvl w:val="0"/>
          <w:numId w:val="1"/>
        </w:numPr>
        <w:tabs>
          <w:tab w:pos="731" w:val="left" w:leader="none"/>
        </w:tabs>
        <w:spacing w:line="240" w:lineRule="auto" w:before="241" w:after="0"/>
        <w:ind w:left="731" w:right="157" w:hanging="567"/>
        <w:jc w:val="both"/>
        <w:rPr>
          <w:sz w:val="24"/>
        </w:rPr>
      </w:pPr>
      <w:r>
        <w:rPr>
          <w:sz w:val="24"/>
        </w:rPr>
        <w:t>Toutefois, l’étendue</w:t>
      </w:r>
      <w:r>
        <w:rPr>
          <w:spacing w:val="-1"/>
          <w:sz w:val="24"/>
        </w:rPr>
        <w:t> </w:t>
      </w:r>
      <w:r>
        <w:rPr>
          <w:sz w:val="24"/>
        </w:rPr>
        <w:t>des catégories de produits ou de</w:t>
      </w:r>
      <w:r>
        <w:rPr>
          <w:spacing w:val="-1"/>
          <w:sz w:val="24"/>
        </w:rPr>
        <w:t> </w:t>
      </w:r>
      <w:r>
        <w:rPr>
          <w:sz w:val="24"/>
        </w:rPr>
        <w:t>services pour lesquelles la</w:t>
      </w:r>
      <w:r>
        <w:rPr>
          <w:spacing w:val="-1"/>
          <w:sz w:val="24"/>
        </w:rPr>
        <w:t> </w:t>
      </w:r>
      <w:r>
        <w:rPr>
          <w:sz w:val="24"/>
        </w:rPr>
        <w:t>marque contestée a été enregistrée est un élément essentiel de l’équilibre entre, d’une part, le maintien et le maintien des droits exclusifs conférés au titulaire de la marque contestée et, d’autre part, la limitation de ces droits afin d’éviter qu’une marque utilisée pour une partie des produits ou services bénéficie d’une protection étendue au seul motif qu’elle</w:t>
      </w:r>
      <w:r>
        <w:rPr>
          <w:spacing w:val="40"/>
          <w:sz w:val="24"/>
        </w:rPr>
        <w:t> </w:t>
      </w:r>
      <w:r>
        <w:rPr>
          <w:sz w:val="24"/>
        </w:rPr>
        <w:t>a été enregistrée pour une large gamme de produits ou de services (19/03/2025, T- 1075/23, Diala, EU:T:2025:311, § 58 et jurisprudence citée).</w:t>
      </w:r>
    </w:p>
    <w:p>
      <w:pPr>
        <w:pStyle w:val="BodyText"/>
        <w:spacing w:before="120"/>
      </w:pPr>
    </w:p>
    <w:p>
      <w:pPr>
        <w:pStyle w:val="ListParagraph"/>
        <w:numPr>
          <w:ilvl w:val="0"/>
          <w:numId w:val="1"/>
        </w:numPr>
        <w:tabs>
          <w:tab w:pos="731" w:val="left" w:leader="none"/>
        </w:tabs>
        <w:spacing w:line="240" w:lineRule="auto" w:before="0" w:after="0"/>
        <w:ind w:left="731" w:right="159" w:hanging="567"/>
        <w:jc w:val="both"/>
        <w:rPr>
          <w:sz w:val="24"/>
        </w:rPr>
      </w:pPr>
      <w:r>
        <w:rPr>
          <w:sz w:val="24"/>
        </w:rPr>
        <w:t>Toutefois, s’agissant de produits ou de services relevant d’une large catégorie de produits ou de services, qui peuvent être subdivisés en plusieurs sous-catégories indépendantes, identifiées de manière suffisamment précise et étroite et se fondant sur</w:t>
      </w:r>
      <w:r>
        <w:rPr>
          <w:spacing w:val="40"/>
          <w:sz w:val="24"/>
        </w:rPr>
        <w:t> </w:t>
      </w:r>
      <w:r>
        <w:rPr>
          <w:sz w:val="24"/>
        </w:rPr>
        <w:t>le critère de finalité et de destination des produits et des services en cause, il convient d’exiger du titulaire de la marque qu’il apporte la preuve de l’usage sérieux de sa marque pour chacune de ces sous-catégories autonomes, faute de quoi il sera</w:t>
      </w:r>
      <w:r>
        <w:rPr>
          <w:spacing w:val="40"/>
          <w:sz w:val="24"/>
        </w:rPr>
        <w:t> </w:t>
      </w:r>
      <w:r>
        <w:rPr>
          <w:sz w:val="24"/>
        </w:rPr>
        <w:t>susceptible de perdre ses droits à la marque pour ces sous-catégories autonomes dont il n’a pas apporté la preuve. En effet, si le titulaire de la marque a enregistré sa marque pour une large gamme de produits ou de services qu’il est susceptible de commercialiser, mais qu’il n’a pas fait au cours de la période pertinente, son intérêt à bénéficier de la protection de la marque pour ces produits ou services ne saurait prévaloir sur l’intérêt de ses concurrents à enregistrer leur marque pour lesdits produits ou services (16/07/2020, C-714/18 P, tigha/TAIGA, EU:C:2020:573, § 42-43; 15/06/2018, R 2595/2015-G, PELLICO (fig.), § 43; 06/10/2022, R</w:t>
      </w:r>
      <w:r>
        <w:rPr>
          <w:spacing w:val="-1"/>
          <w:sz w:val="24"/>
        </w:rPr>
        <w:t> </w:t>
      </w:r>
      <w:r>
        <w:rPr>
          <w:sz w:val="24"/>
        </w:rPr>
        <w:t>2191/2021-4, Pax, §</w:t>
      </w:r>
    </w:p>
    <w:p>
      <w:pPr>
        <w:pStyle w:val="BodyText"/>
        <w:spacing w:before="1"/>
        <w:ind w:left="731"/>
        <w:jc w:val="both"/>
      </w:pPr>
      <w:r>
        <w:rPr/>
        <w:t>68;</w:t>
      </w:r>
      <w:r>
        <w:rPr>
          <w:spacing w:val="-1"/>
        </w:rPr>
        <w:t> </w:t>
      </w:r>
      <w:r>
        <w:rPr/>
        <w:t>26/02/2020,</w:t>
      </w:r>
      <w:r>
        <w:rPr>
          <w:spacing w:val="-1"/>
        </w:rPr>
        <w:t> </w:t>
      </w:r>
      <w:r>
        <w:rPr/>
        <w:t>R</w:t>
      </w:r>
      <w:r>
        <w:rPr>
          <w:spacing w:val="-1"/>
        </w:rPr>
        <w:t> </w:t>
      </w:r>
      <w:r>
        <w:rPr/>
        <w:t>1615/2018-4,</w:t>
      </w:r>
      <w:r>
        <w:rPr>
          <w:spacing w:val="-1"/>
        </w:rPr>
        <w:t> </w:t>
      </w:r>
      <w:r>
        <w:rPr/>
        <w:t>Falke</w:t>
      </w:r>
      <w:r>
        <w:rPr>
          <w:spacing w:val="-2"/>
        </w:rPr>
        <w:t> </w:t>
      </w:r>
      <w:r>
        <w:rPr/>
        <w:t>(fig.),</w:t>
      </w:r>
      <w:r>
        <w:rPr>
          <w:spacing w:val="-1"/>
        </w:rPr>
        <w:t> </w:t>
      </w:r>
      <w:r>
        <w:rPr/>
        <w:t>§ </w:t>
      </w:r>
      <w:r>
        <w:rPr>
          <w:spacing w:val="-4"/>
        </w:rPr>
        <w:t>34).</w:t>
      </w:r>
    </w:p>
    <w:p>
      <w:pPr>
        <w:pStyle w:val="BodyText"/>
        <w:rPr>
          <w:sz w:val="18"/>
        </w:rPr>
      </w:pPr>
    </w:p>
    <w:p>
      <w:pPr>
        <w:pStyle w:val="BodyText"/>
        <w:spacing w:before="43"/>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ListParagraph"/>
        <w:numPr>
          <w:ilvl w:val="0"/>
          <w:numId w:val="1"/>
        </w:numPr>
        <w:tabs>
          <w:tab w:pos="731" w:val="left" w:leader="none"/>
        </w:tabs>
        <w:spacing w:line="240" w:lineRule="auto" w:before="204" w:after="0"/>
        <w:ind w:left="731" w:right="160" w:hanging="567"/>
        <w:jc w:val="both"/>
        <w:rPr>
          <w:sz w:val="24"/>
        </w:rPr>
      </w:pPr>
      <w:r>
        <w:rPr>
          <w:sz w:val="24"/>
        </w:rPr>
        <mc:AlternateContent>
          <mc:Choice Requires="wps">
            <w:drawing>
              <wp:anchor distT="0" distB="0" distL="0" distR="0" allowOverlap="1" layoutInCell="1" locked="0" behindDoc="0" simplePos="0" relativeHeight="15741952">
                <wp:simplePos x="0" y="0"/>
                <wp:positionH relativeFrom="page">
                  <wp:posOffset>270575</wp:posOffset>
                </wp:positionH>
                <wp:positionV relativeFrom="page">
                  <wp:posOffset>1114363</wp:posOffset>
                </wp:positionV>
                <wp:extent cx="146050" cy="921004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1952" type="#_x0000_t202" id="docshape2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4"/>
        </w:rPr>
        <w:t>S’agissant du ou des critères pertinents à appliquer aux fins de l’identification d’une sous-catégorie cohérente de produits ou de services susceptibles d’être envisagées de manière</w:t>
      </w:r>
      <w:r>
        <w:rPr>
          <w:spacing w:val="-2"/>
          <w:sz w:val="24"/>
        </w:rPr>
        <w:t> </w:t>
      </w:r>
      <w:r>
        <w:rPr>
          <w:sz w:val="24"/>
        </w:rPr>
        <w:t>autonome, le critère</w:t>
      </w:r>
      <w:r>
        <w:rPr>
          <w:spacing w:val="-1"/>
          <w:sz w:val="24"/>
        </w:rPr>
        <w:t> </w:t>
      </w:r>
      <w:r>
        <w:rPr>
          <w:sz w:val="24"/>
        </w:rPr>
        <w:t>de</w:t>
      </w:r>
      <w:r>
        <w:rPr>
          <w:spacing w:val="-1"/>
          <w:sz w:val="24"/>
        </w:rPr>
        <w:t> </w:t>
      </w:r>
      <w:r>
        <w:rPr>
          <w:sz w:val="24"/>
        </w:rPr>
        <w:t>finalité</w:t>
      </w:r>
      <w:r>
        <w:rPr>
          <w:spacing w:val="-1"/>
          <w:sz w:val="24"/>
        </w:rPr>
        <w:t> </w:t>
      </w:r>
      <w:r>
        <w:rPr>
          <w:sz w:val="24"/>
        </w:rPr>
        <w:t>et de</w:t>
      </w:r>
      <w:r>
        <w:rPr>
          <w:spacing w:val="-1"/>
          <w:sz w:val="24"/>
        </w:rPr>
        <w:t> </w:t>
      </w:r>
      <w:r>
        <w:rPr>
          <w:sz w:val="24"/>
        </w:rPr>
        <w:t>destination des produits ou des services en cause est celui qui est nécessaire pour définir une sous-catégorie de produits autonome (par analogie, 22/10/2020, 720/18 indirects-C 721/18-, Ferrari SpA, EU:C:2020:854, §</w:t>
      </w:r>
    </w:p>
    <w:p>
      <w:pPr>
        <w:pStyle w:val="BodyText"/>
        <w:ind w:left="731" w:right="161"/>
        <w:jc w:val="both"/>
      </w:pPr>
      <w:r>
        <w:rPr/>
        <w:t>40 et jurisprudence citée; 19/03/2025, 1075/23-, Dialoga, EU:T:2025:311, § 62 et jurisprudence citée).</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Il importe donc d’apprécier de manière concrète, principalement par rapport aux produits ou aux services pour lesquels le titulaire d’une marque a apporté la preuve de l’usage de sa marque, si ces produits ou services constituent une sous-catégorie autonome par rapport aux produits et aux services relevant de la classe de produits ou</w:t>
      </w:r>
      <w:r>
        <w:rPr>
          <w:spacing w:val="40"/>
          <w:sz w:val="24"/>
        </w:rPr>
        <w:t> </w:t>
      </w:r>
      <w:r>
        <w:rPr>
          <w:sz w:val="24"/>
        </w:rPr>
        <w:t>de services concernés, de manière à établir un lien entre les produits ou les services</w:t>
      </w:r>
      <w:r>
        <w:rPr>
          <w:spacing w:val="40"/>
          <w:sz w:val="24"/>
        </w:rPr>
        <w:t> </w:t>
      </w:r>
      <w:r>
        <w:rPr>
          <w:sz w:val="24"/>
        </w:rPr>
        <w:t>pour</w:t>
      </w:r>
      <w:r>
        <w:rPr>
          <w:spacing w:val="-1"/>
          <w:sz w:val="24"/>
        </w:rPr>
        <w:t> </w:t>
      </w:r>
      <w:r>
        <w:rPr>
          <w:sz w:val="24"/>
        </w:rPr>
        <w:t>lesquels l’usage</w:t>
      </w:r>
      <w:r>
        <w:rPr>
          <w:spacing w:val="-1"/>
          <w:sz w:val="24"/>
        </w:rPr>
        <w:t> </w:t>
      </w:r>
      <w:r>
        <w:rPr>
          <w:sz w:val="24"/>
        </w:rPr>
        <w:t>sérieux de</w:t>
      </w:r>
      <w:r>
        <w:rPr>
          <w:spacing w:val="-1"/>
          <w:sz w:val="24"/>
        </w:rPr>
        <w:t> </w:t>
      </w:r>
      <w:r>
        <w:rPr>
          <w:sz w:val="24"/>
        </w:rPr>
        <w:t>la</w:t>
      </w:r>
      <w:r>
        <w:rPr>
          <w:spacing w:val="-1"/>
          <w:sz w:val="24"/>
        </w:rPr>
        <w:t> </w:t>
      </w:r>
      <w:r>
        <w:rPr>
          <w:sz w:val="24"/>
        </w:rPr>
        <w:t>marque a été</w:t>
      </w:r>
      <w:r>
        <w:rPr>
          <w:spacing w:val="-1"/>
          <w:sz w:val="24"/>
        </w:rPr>
        <w:t> </w:t>
      </w:r>
      <w:r>
        <w:rPr>
          <w:sz w:val="24"/>
        </w:rPr>
        <w:t>prouvé</w:t>
      </w:r>
      <w:r>
        <w:rPr>
          <w:spacing w:val="-1"/>
          <w:sz w:val="24"/>
        </w:rPr>
        <w:t> </w:t>
      </w:r>
      <w:r>
        <w:rPr>
          <w:sz w:val="24"/>
        </w:rPr>
        <w:t>avec</w:t>
      </w:r>
      <w:r>
        <w:rPr>
          <w:spacing w:val="-1"/>
          <w:sz w:val="24"/>
        </w:rPr>
        <w:t> </w:t>
      </w:r>
      <w:r>
        <w:rPr>
          <w:sz w:val="24"/>
        </w:rPr>
        <w:t>la catégorie</w:t>
      </w:r>
      <w:r>
        <w:rPr>
          <w:spacing w:val="-1"/>
          <w:sz w:val="24"/>
        </w:rPr>
        <w:t> </w:t>
      </w:r>
      <w:r>
        <w:rPr>
          <w:sz w:val="24"/>
        </w:rPr>
        <w:t>de produits ou de services visée par l’enregistrement de cette marque (par analogie, 22/10/2020, 720/18 SpA--, EU:C:2020:854, § 41 et 721/18, Ferrari, §).</w:t>
      </w:r>
    </w:p>
    <w:p>
      <w:pPr>
        <w:pStyle w:val="ListParagraph"/>
        <w:numPr>
          <w:ilvl w:val="0"/>
          <w:numId w:val="1"/>
        </w:numPr>
        <w:tabs>
          <w:tab w:pos="731" w:val="left" w:leader="none"/>
        </w:tabs>
        <w:spacing w:line="240" w:lineRule="auto" w:before="241" w:after="0"/>
        <w:ind w:left="731" w:right="163" w:hanging="567"/>
        <w:jc w:val="both"/>
        <w:rPr>
          <w:sz w:val="24"/>
        </w:rPr>
      </w:pPr>
      <w:r>
        <w:rPr>
          <w:sz w:val="24"/>
        </w:rPr>
        <w:t>La notion de «segment de marché particulier» n’est pas, en tant que telle, pertinente pour apprécier si les produits ou les services pour lesquels le titulaire d’une marque l’a utilisée relèvent d’une sous-catégorie autonome de la catégorie de produits ou de services pour laquelle cette marque a été enregistrée (par analogie, 22/10/2020, 720/18 indirects-C-721/18, Ferrari SpA, EU:C:2020:854, § 42).</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La seule question pertinente à cet égard est celle de savoir si un consommateur qui souhaite acheter un produit ou un service relevant de la catégorie de produits ou de services couverts par la marque en cause associera tous les produits ou services appartenant à cette catégorie à ladite marque (par analogie, 22/10/2020,-720/18</w:t>
      </w:r>
      <w:r>
        <w:rPr>
          <w:spacing w:val="40"/>
          <w:sz w:val="24"/>
        </w:rPr>
        <w:t> </w:t>
      </w:r>
      <w:r>
        <w:rPr>
          <w:sz w:val="24"/>
        </w:rPr>
        <w:t>indirects C-721/18, Ferrari SpA, EU:C:2020:854, § 43).</w:t>
      </w:r>
    </w:p>
    <w:p>
      <w:pPr>
        <w:pStyle w:val="ListParagraph"/>
        <w:numPr>
          <w:ilvl w:val="0"/>
          <w:numId w:val="1"/>
        </w:numPr>
        <w:tabs>
          <w:tab w:pos="731" w:val="left" w:leader="none"/>
        </w:tabs>
        <w:spacing w:line="240" w:lineRule="auto" w:before="241" w:after="0"/>
        <w:ind w:left="731" w:right="162" w:hanging="567"/>
        <w:jc w:val="both"/>
        <w:rPr>
          <w:sz w:val="24"/>
        </w:rPr>
      </w:pPr>
      <w:r>
        <w:rPr>
          <w:sz w:val="24"/>
        </w:rPr>
        <w:t>Une telle situation ne saurait être exclue au seul motif que, selon une analyse économique, les différents produits ou services inclus dans cette catégorie</w:t>
      </w:r>
      <w:r>
        <w:rPr>
          <w:spacing w:val="40"/>
          <w:sz w:val="24"/>
        </w:rPr>
        <w:t> </w:t>
      </w:r>
      <w:r>
        <w:rPr>
          <w:sz w:val="24"/>
        </w:rPr>
        <w:t>appartiennent à des marchés différents ou à des segments de marché différents. Cela est d’autant plus le cas lorsqu’il existe un intérêt légitime du titulaire d’une marque à étendre sa gamme de produits ou de services pour lesquels sa marque est enregistrée (par analogie, 22/10/2020,-720/18 indirects C-721/18, Ferrari SpA, EU:C:2020:854, § 44 et jurisprudence citée).</w:t>
      </w:r>
    </w:p>
    <w:p>
      <w:pPr>
        <w:pStyle w:val="ListParagraph"/>
        <w:numPr>
          <w:ilvl w:val="0"/>
          <w:numId w:val="1"/>
        </w:numPr>
        <w:tabs>
          <w:tab w:pos="731" w:val="left" w:leader="none"/>
        </w:tabs>
        <w:spacing w:line="240" w:lineRule="auto" w:before="240" w:after="0"/>
        <w:ind w:left="731" w:right="164" w:hanging="567"/>
        <w:jc w:val="both"/>
        <w:rPr>
          <w:sz w:val="24"/>
        </w:rPr>
      </w:pPr>
      <w:r>
        <w:rPr>
          <w:sz w:val="24"/>
        </w:rPr>
        <w:t>S’agissant du ou des critères pertinents à appliquer aux fins de l’identification d’une sous-catégorie cohérente de produits ou de services susceptibles d’être envisagées de manière autonome, la Cour a considéré, en substance, que le critère de finalité et de destination des produits ou des services en cause est un critère essentiel pour définir</w:t>
      </w:r>
      <w:r>
        <w:rPr>
          <w:spacing w:val="80"/>
          <w:sz w:val="24"/>
        </w:rPr>
        <w:t> </w:t>
      </w:r>
      <w:r>
        <w:rPr>
          <w:sz w:val="24"/>
        </w:rPr>
        <w:t>une sous-catégorie de produits autonome (16/07/2020, 714/18-P, tigha/TAIGA, EU:C:2020:573, § 44 et jurisprudence citée).</w:t>
      </w:r>
    </w:p>
    <w:p>
      <w:pPr>
        <w:pStyle w:val="ListParagraph"/>
        <w:numPr>
          <w:ilvl w:val="0"/>
          <w:numId w:val="1"/>
        </w:numPr>
        <w:tabs>
          <w:tab w:pos="731" w:val="left" w:leader="none"/>
        </w:tabs>
        <w:spacing w:line="240" w:lineRule="auto" w:before="241" w:after="0"/>
        <w:ind w:left="731" w:right="159" w:hanging="567"/>
        <w:jc w:val="both"/>
        <w:rPr>
          <w:sz w:val="24"/>
        </w:rPr>
      </w:pPr>
      <w:r>
        <w:rPr>
          <w:sz w:val="24"/>
        </w:rPr>
        <w:t>Le critère de finalité et de destination des produits en cause n’a pas pour objet de</w:t>
      </w:r>
      <w:r>
        <w:rPr>
          <w:spacing w:val="80"/>
          <w:sz w:val="24"/>
        </w:rPr>
        <w:t> </w:t>
      </w:r>
      <w:r>
        <w:rPr>
          <w:sz w:val="24"/>
        </w:rPr>
        <w:t>définir de manière abstraite ou artificielle des sous-catégories autonomes de produits; elle doit être appliquée de manière cohérente et spécifique (16/07/2020-, 714/18 P, tigha/TAIGA, EU:C:2020:573, § 50 et jurisprudence citée, ainsi que les conclusions de l’avocat général).</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spacing w:before="204"/>
        <w:ind w:left="731" w:right="0" w:firstLine="0"/>
        <w:jc w:val="left"/>
        <w:rPr>
          <w:i/>
          <w:sz w:val="24"/>
        </w:rPr>
      </w:pPr>
      <w:r>
        <w:rPr>
          <w:i/>
          <w:sz w:val="24"/>
        </w:rPr>
        <mc:AlternateContent>
          <mc:Choice Requires="wps">
            <w:drawing>
              <wp:anchor distT="0" distB="0" distL="0" distR="0" allowOverlap="1" layoutInCell="1" locked="0" behindDoc="0" simplePos="0" relativeHeight="15742464">
                <wp:simplePos x="0" y="0"/>
                <wp:positionH relativeFrom="page">
                  <wp:posOffset>270575</wp:posOffset>
                </wp:positionH>
                <wp:positionV relativeFrom="page">
                  <wp:posOffset>1114363</wp:posOffset>
                </wp:positionV>
                <wp:extent cx="146050" cy="921004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2464" type="#_x0000_t202" id="docshape24"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i/>
          <w:sz w:val="24"/>
        </w:rPr>
        <w:t>Le</w:t>
      </w:r>
      <w:r>
        <w:rPr>
          <w:i/>
          <w:spacing w:val="-2"/>
          <w:sz w:val="24"/>
        </w:rPr>
        <w:t> </w:t>
      </w:r>
      <w:r>
        <w:rPr>
          <w:i/>
          <w:sz w:val="24"/>
        </w:rPr>
        <w:t>secteur</w:t>
      </w:r>
      <w:r>
        <w:rPr>
          <w:i/>
          <w:spacing w:val="-1"/>
          <w:sz w:val="24"/>
        </w:rPr>
        <w:t> </w:t>
      </w:r>
      <w:r>
        <w:rPr>
          <w:i/>
          <w:sz w:val="24"/>
        </w:rPr>
        <w:t>de</w:t>
      </w:r>
      <w:r>
        <w:rPr>
          <w:i/>
          <w:spacing w:val="-2"/>
          <w:sz w:val="24"/>
        </w:rPr>
        <w:t> </w:t>
      </w:r>
      <w:r>
        <w:rPr>
          <w:i/>
          <w:sz w:val="24"/>
        </w:rPr>
        <w:t>la</w:t>
      </w:r>
      <w:r>
        <w:rPr>
          <w:i/>
          <w:spacing w:val="-1"/>
          <w:sz w:val="24"/>
        </w:rPr>
        <w:t> </w:t>
      </w:r>
      <w:r>
        <w:rPr>
          <w:i/>
          <w:sz w:val="24"/>
        </w:rPr>
        <w:t>mode</w:t>
      </w:r>
      <w:r>
        <w:rPr>
          <w:i/>
          <w:spacing w:val="-1"/>
          <w:sz w:val="24"/>
        </w:rPr>
        <w:t> </w:t>
      </w:r>
      <w:r>
        <w:rPr>
          <w:i/>
          <w:sz w:val="24"/>
        </w:rPr>
        <w:t>et</w:t>
      </w:r>
      <w:r>
        <w:rPr>
          <w:i/>
          <w:spacing w:val="1"/>
          <w:sz w:val="24"/>
        </w:rPr>
        <w:t> </w:t>
      </w:r>
      <w:r>
        <w:rPr>
          <w:i/>
          <w:sz w:val="24"/>
        </w:rPr>
        <w:t>les chaussures</w:t>
      </w:r>
      <w:r>
        <w:rPr>
          <w:i/>
          <w:spacing w:val="-1"/>
          <w:sz w:val="24"/>
        </w:rPr>
        <w:t> </w:t>
      </w:r>
      <w:r>
        <w:rPr>
          <w:i/>
          <w:sz w:val="24"/>
        </w:rPr>
        <w:t>en </w:t>
      </w:r>
      <w:r>
        <w:rPr>
          <w:i/>
          <w:spacing w:val="-2"/>
          <w:sz w:val="24"/>
        </w:rPr>
        <w:t>particulier</w:t>
      </w:r>
    </w:p>
    <w:p>
      <w:pPr>
        <w:pStyle w:val="ListParagraph"/>
        <w:numPr>
          <w:ilvl w:val="0"/>
          <w:numId w:val="1"/>
        </w:numPr>
        <w:tabs>
          <w:tab w:pos="731" w:val="left" w:leader="none"/>
        </w:tabs>
        <w:spacing w:line="240" w:lineRule="auto" w:before="240" w:after="0"/>
        <w:ind w:left="731" w:right="161" w:hanging="567"/>
        <w:jc w:val="both"/>
        <w:rPr>
          <w:sz w:val="24"/>
        </w:rPr>
      </w:pPr>
      <w:r>
        <w:rPr>
          <w:sz w:val="24"/>
        </w:rPr>
        <w:t>Une question particulière dans le domaine de la mode, et en particulier en ce qui concerne les vêtements, est de savoir s’il est justifié de créer des sous-catégories cohérentes en fonction du sexe et du groupe d’âge du public cible.</w:t>
      </w:r>
    </w:p>
    <w:p>
      <w:pPr>
        <w:pStyle w:val="BodyText"/>
      </w:pPr>
    </w:p>
    <w:p>
      <w:pPr>
        <w:pStyle w:val="ListParagraph"/>
        <w:numPr>
          <w:ilvl w:val="0"/>
          <w:numId w:val="1"/>
        </w:numPr>
        <w:tabs>
          <w:tab w:pos="731" w:val="left" w:leader="none"/>
        </w:tabs>
        <w:spacing w:line="240" w:lineRule="auto" w:before="0" w:after="0"/>
        <w:ind w:left="731" w:right="160" w:hanging="567"/>
        <w:jc w:val="both"/>
        <w:rPr>
          <w:sz w:val="24"/>
        </w:rPr>
      </w:pPr>
      <w:r>
        <w:rPr>
          <w:sz w:val="24"/>
        </w:rPr>
        <w:t>À cet égard, le Tribunal a indiqué que les «vêtements» constituent une catégorie large de produits qui englobe différentes sous-catégories distinctes et autonomes, telles que les sous-vêtements féminins, les collants et les bas, et les vêtements de dessus pour hommes, y compris les culottes, les chemises, les pull-overs ou les vestes. Le Tribunal</w:t>
      </w:r>
      <w:r>
        <w:rPr>
          <w:spacing w:val="80"/>
          <w:sz w:val="24"/>
        </w:rPr>
        <w:t> </w:t>
      </w:r>
      <w:r>
        <w:rPr>
          <w:sz w:val="24"/>
        </w:rPr>
        <w:t>a donc considéré que les «collants pour femmes», pour lesquels l’usage sérieux a été démontré, constituaient une sous-catégorie des «vêtements» &amp;bra; 14/12/2006, T- 392/04,</w:t>
      </w:r>
      <w:r>
        <w:rPr>
          <w:spacing w:val="65"/>
          <w:sz w:val="24"/>
        </w:rPr>
        <w:t> </w:t>
      </w:r>
      <w:r>
        <w:rPr>
          <w:sz w:val="24"/>
        </w:rPr>
        <w:t>MANU</w:t>
      </w:r>
      <w:r>
        <w:rPr>
          <w:spacing w:val="64"/>
          <w:sz w:val="24"/>
        </w:rPr>
        <w:t> </w:t>
      </w:r>
      <w:r>
        <w:rPr>
          <w:sz w:val="24"/>
        </w:rPr>
        <w:t>MANU</w:t>
      </w:r>
      <w:r>
        <w:rPr>
          <w:spacing w:val="67"/>
          <w:sz w:val="24"/>
        </w:rPr>
        <w:t> </w:t>
      </w:r>
      <w:r>
        <w:rPr>
          <w:sz w:val="24"/>
        </w:rPr>
        <w:t>MANU</w:t>
      </w:r>
      <w:r>
        <w:rPr>
          <w:spacing w:val="64"/>
          <w:sz w:val="24"/>
        </w:rPr>
        <w:t> </w:t>
      </w:r>
      <w:r>
        <w:rPr>
          <w:sz w:val="24"/>
        </w:rPr>
        <w:t>MANU</w:t>
      </w:r>
      <w:r>
        <w:rPr>
          <w:spacing w:val="64"/>
          <w:sz w:val="24"/>
        </w:rPr>
        <w:t> </w:t>
      </w:r>
      <w:r>
        <w:rPr>
          <w:sz w:val="24"/>
        </w:rPr>
        <w:t>(fig.)/MANOU,</w:t>
      </w:r>
      <w:r>
        <w:rPr>
          <w:spacing w:val="65"/>
          <w:sz w:val="24"/>
        </w:rPr>
        <w:t> </w:t>
      </w:r>
      <w:r>
        <w:rPr>
          <w:sz w:val="24"/>
        </w:rPr>
        <w:t>EU:T:2006:400,</w:t>
      </w:r>
      <w:r>
        <w:rPr>
          <w:spacing w:val="65"/>
          <w:sz w:val="24"/>
        </w:rPr>
        <w:t> </w:t>
      </w:r>
      <w:r>
        <w:rPr>
          <w:sz w:val="24"/>
        </w:rPr>
        <w:t>§</w:t>
      </w:r>
      <w:r>
        <w:rPr>
          <w:spacing w:val="65"/>
          <w:sz w:val="24"/>
        </w:rPr>
        <w:t> </w:t>
      </w:r>
      <w:r>
        <w:rPr>
          <w:sz w:val="24"/>
        </w:rPr>
        <w:t>90-92</w:t>
      </w:r>
    </w:p>
    <w:p>
      <w:pPr>
        <w:pStyle w:val="BodyText"/>
        <w:ind w:left="731"/>
      </w:pPr>
      <w:r>
        <w:rPr>
          <w:spacing w:val="-2"/>
        </w:rPr>
        <w:t>&amp;ket;.</w:t>
      </w:r>
    </w:p>
    <w:p>
      <w:pPr>
        <w:pStyle w:val="ListParagraph"/>
        <w:numPr>
          <w:ilvl w:val="0"/>
          <w:numId w:val="1"/>
        </w:numPr>
        <w:tabs>
          <w:tab w:pos="731" w:val="left" w:leader="none"/>
        </w:tabs>
        <w:spacing w:line="240" w:lineRule="auto" w:before="1" w:after="0"/>
        <w:ind w:left="731" w:right="164" w:hanging="567"/>
        <w:jc w:val="both"/>
        <w:rPr>
          <w:sz w:val="24"/>
        </w:rPr>
      </w:pPr>
      <w:r>
        <w:rPr>
          <w:sz w:val="24"/>
        </w:rPr>
        <w:t>En ce qui concerne les chaussures, en particulier, la grande chambre de recours a considéré, en se référant aux principes établis dans l’affaire «ALADIN» et à la jurisprudence ultérieure, que les «chaussures» comprises dans la classe 25 étaient suffisamment larges pour que plusieurs sous-catégories puissent être identifiées en son sein &amp;bra; 15/06/2018, R 2595/2015-G, PELLICO (fig.), § 32, 36-37, 42 &amp;ket;.</w:t>
      </w:r>
    </w:p>
    <w:p>
      <w:pPr>
        <w:pStyle w:val="BodyText"/>
      </w:pPr>
    </w:p>
    <w:p>
      <w:pPr>
        <w:pStyle w:val="ListParagraph"/>
        <w:numPr>
          <w:ilvl w:val="0"/>
          <w:numId w:val="1"/>
        </w:numPr>
        <w:tabs>
          <w:tab w:pos="731" w:val="left" w:leader="none"/>
        </w:tabs>
        <w:spacing w:line="240" w:lineRule="auto" w:before="0" w:after="0"/>
        <w:ind w:left="731" w:right="160" w:hanging="567"/>
        <w:jc w:val="both"/>
        <w:rPr>
          <w:sz w:val="24"/>
        </w:rPr>
      </w:pPr>
      <w:r>
        <w:rPr>
          <w:sz w:val="24"/>
        </w:rPr>
        <w:t>Dans son sens naturel et habituel, le terme «chaussures» est susceptible d’inclure un large éventail de produits ayant des finalités et des caractéristiques différentes, ce qui peut nécessiter des niveaux très différents de capacité technique et de savoir-faire pour être produit, cibler des consommateurs différents et être vendus par des canaux de distribution différents et, partant, concerner des segments de marché différents. La grande chambre de recours a considéré que les détaillants de chaussures, que ce soit dans des magasins physiques ou sur l’internet, structurent généralement l’offre de leurs chaussures (physiquement ou visuellement), en fonction du sexe et de l’âge. Par conséquent, les «chaussures pour dames» ont été considérées comme une sous- catégorie autonome et cohérente des «chaussures» &amp;bra; 15/06/2018, R 2595/2015-G, PELLICO (fig.), § 32, 36-37, 42 &amp;ket;.</w:t>
      </w:r>
    </w:p>
    <w:p>
      <w:pPr>
        <w:pStyle w:val="BodyText"/>
        <w:spacing w:before="1"/>
      </w:pPr>
    </w:p>
    <w:p>
      <w:pPr>
        <w:pStyle w:val="ListParagraph"/>
        <w:numPr>
          <w:ilvl w:val="0"/>
          <w:numId w:val="1"/>
        </w:numPr>
        <w:tabs>
          <w:tab w:pos="731" w:val="left" w:leader="none"/>
        </w:tabs>
        <w:spacing w:line="240" w:lineRule="auto" w:before="0" w:after="0"/>
        <w:ind w:left="731" w:right="0" w:hanging="566"/>
        <w:jc w:val="both"/>
        <w:rPr>
          <w:sz w:val="24"/>
        </w:rPr>
      </w:pPr>
      <w:r>
        <w:rPr>
          <w:sz w:val="24"/>
        </w:rPr>
        <w:t>Dans</w:t>
      </w:r>
      <w:r>
        <w:rPr>
          <w:spacing w:val="-2"/>
          <w:sz w:val="24"/>
        </w:rPr>
        <w:t> </w:t>
      </w:r>
      <w:r>
        <w:rPr>
          <w:sz w:val="24"/>
        </w:rPr>
        <w:t>l’affaire</w:t>
      </w:r>
      <w:r>
        <w:rPr>
          <w:spacing w:val="5"/>
          <w:sz w:val="24"/>
        </w:rPr>
        <w:t> </w:t>
      </w:r>
      <w:r>
        <w:rPr>
          <w:sz w:val="24"/>
        </w:rPr>
        <w:t>«D»</w:t>
      </w:r>
      <w:r>
        <w:rPr>
          <w:spacing w:val="-3"/>
          <w:sz w:val="24"/>
        </w:rPr>
        <w:t> </w:t>
      </w:r>
      <w:r>
        <w:rPr>
          <w:sz w:val="24"/>
        </w:rPr>
        <w:t>&amp;bra;</w:t>
      </w:r>
      <w:r>
        <w:rPr>
          <w:spacing w:val="3"/>
          <w:sz w:val="24"/>
        </w:rPr>
        <w:t> </w:t>
      </w:r>
      <w:r>
        <w:rPr>
          <w:sz w:val="24"/>
        </w:rPr>
        <w:t>28/05/2020,</w:t>
      </w:r>
      <w:r>
        <w:rPr>
          <w:spacing w:val="1"/>
          <w:sz w:val="24"/>
        </w:rPr>
        <w:t> </w:t>
      </w:r>
      <w:r>
        <w:rPr>
          <w:sz w:val="24"/>
        </w:rPr>
        <w:t>T-615/18,</w:t>
      </w:r>
      <w:r>
        <w:rPr>
          <w:spacing w:val="3"/>
          <w:sz w:val="24"/>
        </w:rPr>
        <w:t> </w:t>
      </w:r>
      <w:r>
        <w:rPr>
          <w:sz w:val="24"/>
        </w:rPr>
        <w:t>D (fig.)/D</w:t>
      </w:r>
      <w:r>
        <w:rPr>
          <w:spacing w:val="2"/>
          <w:sz w:val="24"/>
        </w:rPr>
        <w:t> </w:t>
      </w:r>
      <w:r>
        <w:rPr>
          <w:sz w:val="24"/>
        </w:rPr>
        <w:t>(fig.)</w:t>
      </w:r>
      <w:r>
        <w:rPr>
          <w:spacing w:val="1"/>
          <w:sz w:val="24"/>
        </w:rPr>
        <w:t> </w:t>
      </w:r>
      <w:r>
        <w:rPr>
          <w:sz w:val="24"/>
        </w:rPr>
        <w:t>et</w:t>
      </w:r>
      <w:r>
        <w:rPr>
          <w:spacing w:val="4"/>
          <w:sz w:val="24"/>
        </w:rPr>
        <w:t> </w:t>
      </w:r>
      <w:r>
        <w:rPr>
          <w:sz w:val="24"/>
        </w:rPr>
        <w:t>al.,</w:t>
      </w:r>
      <w:r>
        <w:rPr>
          <w:spacing w:val="1"/>
          <w:sz w:val="24"/>
        </w:rPr>
        <w:t> </w:t>
      </w:r>
      <w:r>
        <w:rPr>
          <w:spacing w:val="-2"/>
          <w:sz w:val="24"/>
        </w:rPr>
        <w:t>EU:T:2020:223,</w:t>
      </w:r>
    </w:p>
    <w:p>
      <w:pPr>
        <w:pStyle w:val="BodyText"/>
        <w:ind w:left="731" w:right="158"/>
        <w:jc w:val="both"/>
      </w:pPr>
      <w:r>
        <w:rPr/>
        <w:t>§ 90 &amp;ket;, le Tribunal a confirmé la conclusion de la chambre de recours selon</w:t>
      </w:r>
      <w:r>
        <w:rPr>
          <w:spacing w:val="40"/>
        </w:rPr>
        <w:t> </w:t>
      </w:r>
      <w:r>
        <w:rPr/>
        <w:t>laquelle les «jeans pour hommes et pour femmes», pour lesquels l’usage a été</w:t>
      </w:r>
      <w:r>
        <w:rPr>
          <w:spacing w:val="40"/>
        </w:rPr>
        <w:t> </w:t>
      </w:r>
      <w:r>
        <w:rPr/>
        <w:t>démontré, constituaient une sous-catégorie cohérente et homogène, et la chambre de recours a «correctement procédé à son examen de la preuve de l’usage sérieux pour cette sous-catégorie spécifique et non pour des vêtements, des pantalons ou même des jeans en tant que tels». Le raisonnement de la chambre de recours était</w:t>
      </w:r>
      <w:r>
        <w:rPr>
          <w:spacing w:val="14"/>
        </w:rPr>
        <w:t> </w:t>
      </w:r>
      <w:r>
        <w:rPr/>
        <w:t>— en référence</w:t>
      </w:r>
      <w:r>
        <w:rPr>
          <w:spacing w:val="40"/>
        </w:rPr>
        <w:t> </w:t>
      </w:r>
      <w:r>
        <w:rPr/>
        <w:t>à «PELLICO»</w:t>
      </w:r>
      <w:r>
        <w:rPr>
          <w:spacing w:val="-5"/>
        </w:rPr>
        <w:t> </w:t>
      </w:r>
      <w:r>
        <w:rPr/>
        <w:t>—</w:t>
      </w:r>
      <w:r>
        <w:rPr>
          <w:spacing w:val="-1"/>
        </w:rPr>
        <w:t> </w:t>
      </w:r>
      <w:r>
        <w:rPr/>
        <w:t>que</w:t>
      </w:r>
      <w:r>
        <w:rPr>
          <w:spacing w:val="-3"/>
        </w:rPr>
        <w:t> </w:t>
      </w:r>
      <w:r>
        <w:rPr/>
        <w:t>les «jeans»</w:t>
      </w:r>
      <w:r>
        <w:rPr>
          <w:spacing w:val="-6"/>
        </w:rPr>
        <w:t> </w:t>
      </w:r>
      <w:r>
        <w:rPr/>
        <w:t>constituaient</w:t>
      </w:r>
      <w:r>
        <w:rPr>
          <w:spacing w:val="-2"/>
        </w:rPr>
        <w:t> </w:t>
      </w:r>
      <w:r>
        <w:rPr/>
        <w:t>une «industrie</w:t>
      </w:r>
      <w:r>
        <w:rPr>
          <w:spacing w:val="-3"/>
        </w:rPr>
        <w:t> </w:t>
      </w:r>
      <w:r>
        <w:rPr/>
        <w:t>spécialisée, présentant</w:t>
      </w:r>
      <w:r>
        <w:rPr>
          <w:spacing w:val="-2"/>
        </w:rPr>
        <w:t> </w:t>
      </w:r>
      <w:r>
        <w:rPr/>
        <w:t>un intérêt pour les créateurs spécialisés, vendus dans des magasins spécialisés (et des rayons de grands magasins) et ciblaient directement tous les consommateurs à un moment</w:t>
      </w:r>
      <w:r>
        <w:rPr>
          <w:spacing w:val="47"/>
        </w:rPr>
        <w:t> </w:t>
      </w:r>
      <w:r>
        <w:rPr/>
        <w:t>ou</w:t>
      </w:r>
      <w:r>
        <w:rPr>
          <w:spacing w:val="47"/>
        </w:rPr>
        <w:t> </w:t>
      </w:r>
      <w:r>
        <w:rPr/>
        <w:t>à</w:t>
      </w:r>
      <w:r>
        <w:rPr>
          <w:spacing w:val="45"/>
        </w:rPr>
        <w:t> </w:t>
      </w:r>
      <w:r>
        <w:rPr/>
        <w:t>un</w:t>
      </w:r>
      <w:r>
        <w:rPr>
          <w:spacing w:val="49"/>
        </w:rPr>
        <w:t> </w:t>
      </w:r>
      <w:r>
        <w:rPr/>
        <w:t>autre»</w:t>
      </w:r>
      <w:r>
        <w:rPr>
          <w:spacing w:val="44"/>
        </w:rPr>
        <w:t> </w:t>
      </w:r>
      <w:r>
        <w:rPr/>
        <w:t>et</w:t>
      </w:r>
      <w:r>
        <w:rPr>
          <w:spacing w:val="48"/>
        </w:rPr>
        <w:t> </w:t>
      </w:r>
      <w:r>
        <w:rPr/>
        <w:t>que</w:t>
      </w:r>
      <w:r>
        <w:rPr>
          <w:spacing w:val="52"/>
        </w:rPr>
        <w:t> </w:t>
      </w:r>
      <w:r>
        <w:rPr/>
        <w:t>«rien</w:t>
      </w:r>
      <w:r>
        <w:rPr>
          <w:spacing w:val="49"/>
        </w:rPr>
        <w:t> </w:t>
      </w:r>
      <w:r>
        <w:rPr/>
        <w:t>ne</w:t>
      </w:r>
      <w:r>
        <w:rPr>
          <w:spacing w:val="46"/>
        </w:rPr>
        <w:t> </w:t>
      </w:r>
      <w:r>
        <w:rPr/>
        <w:t>justifiait</w:t>
      </w:r>
      <w:r>
        <w:rPr>
          <w:spacing w:val="47"/>
        </w:rPr>
        <w:t> </w:t>
      </w:r>
      <w:r>
        <w:rPr/>
        <w:t>de</w:t>
      </w:r>
      <w:r>
        <w:rPr>
          <w:spacing w:val="46"/>
        </w:rPr>
        <w:t> </w:t>
      </w:r>
      <w:r>
        <w:rPr/>
        <w:t>conclure</w:t>
      </w:r>
      <w:r>
        <w:rPr>
          <w:spacing w:val="47"/>
        </w:rPr>
        <w:t> </w:t>
      </w:r>
      <w:r>
        <w:rPr/>
        <w:t>à</w:t>
      </w:r>
      <w:r>
        <w:rPr>
          <w:spacing w:val="46"/>
        </w:rPr>
        <w:t> </w:t>
      </w:r>
      <w:r>
        <w:rPr/>
        <w:t>un</w:t>
      </w:r>
      <w:r>
        <w:rPr>
          <w:spacing w:val="48"/>
        </w:rPr>
        <w:t> </w:t>
      </w:r>
      <w:r>
        <w:rPr/>
        <w:t>usage</w:t>
      </w:r>
      <w:r>
        <w:rPr>
          <w:spacing w:val="48"/>
        </w:rPr>
        <w:t> </w:t>
      </w:r>
      <w:r>
        <w:rPr/>
        <w:t>pour</w:t>
      </w:r>
      <w:r>
        <w:rPr>
          <w:spacing w:val="47"/>
        </w:rPr>
        <w:t> </w:t>
      </w:r>
      <w:r>
        <w:rPr>
          <w:spacing w:val="-5"/>
        </w:rPr>
        <w:t>des</w:t>
      </w:r>
    </w:p>
    <w:p>
      <w:pPr>
        <w:pStyle w:val="BodyText"/>
        <w:spacing w:before="1"/>
        <w:ind w:left="731" w:right="169"/>
        <w:jc w:val="both"/>
      </w:pPr>
      <w:r>
        <w:rPr/>
        <w:t>«vêtements» en général, des «pantalons» en particulier ou même des «jeans» en tant</w:t>
      </w:r>
      <w:r>
        <w:rPr>
          <w:spacing w:val="40"/>
        </w:rPr>
        <w:t> </w:t>
      </w:r>
      <w:r>
        <w:rPr/>
        <w:t>que tels (qui pouvaient inclure des articles pour enfants)».</w:t>
      </w:r>
    </w:p>
    <w:p>
      <w:pPr>
        <w:pStyle w:val="BodyText"/>
      </w:pPr>
    </w:p>
    <w:p>
      <w:pPr>
        <w:pStyle w:val="ListParagraph"/>
        <w:numPr>
          <w:ilvl w:val="0"/>
          <w:numId w:val="1"/>
        </w:numPr>
        <w:tabs>
          <w:tab w:pos="731" w:val="left" w:leader="none"/>
        </w:tabs>
        <w:spacing w:line="240" w:lineRule="auto" w:before="0" w:after="0"/>
        <w:ind w:left="731" w:right="161" w:hanging="567"/>
        <w:jc w:val="both"/>
        <w:rPr>
          <w:sz w:val="24"/>
        </w:rPr>
      </w:pPr>
      <w:r>
        <w:rPr>
          <w:sz w:val="24"/>
        </w:rPr>
        <w:t>En outre, dans l’arrêt «Pax» (06/10/2022, R 2191/2021-4, Pax, § 69-73), la chambre de recours</w:t>
      </w:r>
      <w:r>
        <w:rPr>
          <w:spacing w:val="-2"/>
          <w:sz w:val="24"/>
        </w:rPr>
        <w:t> </w:t>
      </w:r>
      <w:r>
        <w:rPr>
          <w:sz w:val="24"/>
        </w:rPr>
        <w:t>a</w:t>
      </w:r>
      <w:r>
        <w:rPr>
          <w:spacing w:val="-2"/>
          <w:sz w:val="24"/>
        </w:rPr>
        <w:t> </w:t>
      </w:r>
      <w:r>
        <w:rPr>
          <w:sz w:val="24"/>
        </w:rPr>
        <w:t>conclu</w:t>
      </w:r>
      <w:r>
        <w:rPr>
          <w:spacing w:val="-1"/>
          <w:sz w:val="24"/>
        </w:rPr>
        <w:t> </w:t>
      </w:r>
      <w:r>
        <w:rPr>
          <w:sz w:val="24"/>
        </w:rPr>
        <w:t>que</w:t>
      </w:r>
      <w:r>
        <w:rPr>
          <w:spacing w:val="-2"/>
          <w:sz w:val="24"/>
        </w:rPr>
        <w:t> </w:t>
      </w:r>
      <w:r>
        <w:rPr>
          <w:sz w:val="24"/>
        </w:rPr>
        <w:t>les</w:t>
      </w:r>
      <w:r>
        <w:rPr>
          <w:spacing w:val="-4"/>
          <w:sz w:val="24"/>
        </w:rPr>
        <w:t> </w:t>
      </w:r>
      <w:r>
        <w:rPr>
          <w:sz w:val="24"/>
        </w:rPr>
        <w:t>éléments</w:t>
      </w:r>
      <w:r>
        <w:rPr>
          <w:spacing w:val="-1"/>
          <w:sz w:val="24"/>
        </w:rPr>
        <w:t> </w:t>
      </w:r>
      <w:r>
        <w:rPr>
          <w:sz w:val="24"/>
        </w:rPr>
        <w:t>de</w:t>
      </w:r>
      <w:r>
        <w:rPr>
          <w:spacing w:val="-2"/>
          <w:sz w:val="24"/>
        </w:rPr>
        <w:t> </w:t>
      </w:r>
      <w:r>
        <w:rPr>
          <w:sz w:val="24"/>
        </w:rPr>
        <w:t>preuve</w:t>
      </w:r>
      <w:r>
        <w:rPr>
          <w:spacing w:val="-2"/>
          <w:sz w:val="24"/>
        </w:rPr>
        <w:t> </w:t>
      </w:r>
      <w:r>
        <w:rPr>
          <w:sz w:val="24"/>
        </w:rPr>
        <w:t>produits</w:t>
      </w:r>
      <w:r>
        <w:rPr>
          <w:spacing w:val="-1"/>
          <w:sz w:val="24"/>
        </w:rPr>
        <w:t> </w:t>
      </w:r>
      <w:r>
        <w:rPr>
          <w:sz w:val="24"/>
        </w:rPr>
        <w:t>démontraient</w:t>
      </w:r>
      <w:r>
        <w:rPr>
          <w:spacing w:val="-1"/>
          <w:sz w:val="24"/>
        </w:rPr>
        <w:t> </w:t>
      </w:r>
      <w:r>
        <w:rPr>
          <w:sz w:val="24"/>
        </w:rPr>
        <w:t>l’usage de</w:t>
      </w:r>
      <w:r>
        <w:rPr>
          <w:spacing w:val="-2"/>
          <w:sz w:val="24"/>
        </w:rPr>
        <w:t> </w:t>
      </w:r>
      <w:r>
        <w:rPr>
          <w:sz w:val="24"/>
        </w:rPr>
        <w:t>la</w:t>
      </w:r>
      <w:r>
        <w:rPr>
          <w:spacing w:val="-2"/>
          <w:sz w:val="24"/>
        </w:rPr>
        <w:t> </w:t>
      </w:r>
      <w:r>
        <w:rPr>
          <w:sz w:val="24"/>
        </w:rPr>
        <w:t>marque contestée uniquement pour les «chaussures pour enfants» comprises dans la classe 25.</w:t>
      </w:r>
    </w:p>
    <w:p>
      <w:pPr>
        <w:pStyle w:val="BodyText"/>
        <w:rPr>
          <w:sz w:val="18"/>
        </w:rPr>
      </w:pPr>
    </w:p>
    <w:p>
      <w:pPr>
        <w:pStyle w:val="BodyText"/>
        <w:rPr>
          <w:sz w:val="18"/>
        </w:rPr>
      </w:pPr>
    </w:p>
    <w:p>
      <w:pPr>
        <w:pStyle w:val="BodyText"/>
        <w:rPr>
          <w:sz w:val="18"/>
        </w:rPr>
      </w:pPr>
    </w:p>
    <w:p>
      <w:pPr>
        <w:pStyle w:val="BodyText"/>
        <w:spacing w:before="37"/>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spacing w:before="204"/>
        <w:ind w:left="731" w:right="0" w:firstLine="0"/>
        <w:jc w:val="both"/>
        <w:rPr>
          <w:i/>
          <w:sz w:val="24"/>
        </w:rPr>
      </w:pPr>
      <w:r>
        <w:rPr>
          <w:i/>
          <w:sz w:val="24"/>
        </w:rPr>
        <mc:AlternateContent>
          <mc:Choice Requires="wps">
            <w:drawing>
              <wp:anchor distT="0" distB="0" distL="0" distR="0" allowOverlap="1" layoutInCell="1" locked="0" behindDoc="0" simplePos="0" relativeHeight="15743488">
                <wp:simplePos x="0" y="0"/>
                <wp:positionH relativeFrom="page">
                  <wp:posOffset>270575</wp:posOffset>
                </wp:positionH>
                <wp:positionV relativeFrom="page">
                  <wp:posOffset>1114363</wp:posOffset>
                </wp:positionV>
                <wp:extent cx="146050" cy="921004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3488" type="#_x0000_t202" id="docshape2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i/>
          <w:sz w:val="24"/>
        </w:rPr>
        <w:t>L’usage</w:t>
      </w:r>
      <w:r>
        <w:rPr>
          <w:i/>
          <w:spacing w:val="-5"/>
          <w:sz w:val="24"/>
        </w:rPr>
        <w:t> </w:t>
      </w:r>
      <w:r>
        <w:rPr>
          <w:i/>
          <w:sz w:val="24"/>
        </w:rPr>
        <w:t>concernant</w:t>
      </w:r>
      <w:r>
        <w:rPr>
          <w:i/>
          <w:spacing w:val="-1"/>
          <w:sz w:val="24"/>
        </w:rPr>
        <w:t> </w:t>
      </w:r>
      <w:r>
        <w:rPr>
          <w:i/>
          <w:sz w:val="24"/>
        </w:rPr>
        <w:t>les</w:t>
      </w:r>
      <w:r>
        <w:rPr>
          <w:i/>
          <w:spacing w:val="-2"/>
          <w:sz w:val="24"/>
        </w:rPr>
        <w:t> </w:t>
      </w:r>
      <w:r>
        <w:rPr>
          <w:i/>
          <w:sz w:val="24"/>
        </w:rPr>
        <w:t>produits</w:t>
      </w:r>
      <w:r>
        <w:rPr>
          <w:i/>
          <w:spacing w:val="-2"/>
          <w:sz w:val="24"/>
        </w:rPr>
        <w:t> </w:t>
      </w:r>
      <w:r>
        <w:rPr>
          <w:i/>
          <w:sz w:val="24"/>
        </w:rPr>
        <w:t>pour</w:t>
      </w:r>
      <w:r>
        <w:rPr>
          <w:i/>
          <w:spacing w:val="-1"/>
          <w:sz w:val="24"/>
        </w:rPr>
        <w:t> </w:t>
      </w:r>
      <w:r>
        <w:rPr>
          <w:i/>
          <w:sz w:val="24"/>
        </w:rPr>
        <w:t>lesquels</w:t>
      </w:r>
      <w:r>
        <w:rPr>
          <w:i/>
          <w:spacing w:val="-2"/>
          <w:sz w:val="24"/>
        </w:rPr>
        <w:t> </w:t>
      </w:r>
      <w:r>
        <w:rPr>
          <w:i/>
          <w:sz w:val="24"/>
        </w:rPr>
        <w:t>la</w:t>
      </w:r>
      <w:r>
        <w:rPr>
          <w:i/>
          <w:spacing w:val="-4"/>
          <w:sz w:val="24"/>
        </w:rPr>
        <w:t> </w:t>
      </w:r>
      <w:r>
        <w:rPr>
          <w:i/>
          <w:sz w:val="24"/>
        </w:rPr>
        <w:t>marque</w:t>
      </w:r>
      <w:r>
        <w:rPr>
          <w:i/>
          <w:spacing w:val="-3"/>
          <w:sz w:val="24"/>
        </w:rPr>
        <w:t> </w:t>
      </w:r>
      <w:r>
        <w:rPr>
          <w:i/>
          <w:sz w:val="24"/>
        </w:rPr>
        <w:t>est </w:t>
      </w:r>
      <w:r>
        <w:rPr>
          <w:i/>
          <w:spacing w:val="-2"/>
          <w:sz w:val="24"/>
        </w:rPr>
        <w:t>enregistrée</w:t>
      </w:r>
    </w:p>
    <w:p>
      <w:pPr>
        <w:pStyle w:val="ListParagraph"/>
        <w:numPr>
          <w:ilvl w:val="0"/>
          <w:numId w:val="1"/>
        </w:numPr>
        <w:tabs>
          <w:tab w:pos="731" w:val="left" w:leader="none"/>
        </w:tabs>
        <w:spacing w:line="240" w:lineRule="auto" w:before="240" w:after="0"/>
        <w:ind w:left="731" w:right="162" w:hanging="567"/>
        <w:jc w:val="both"/>
        <w:rPr>
          <w:sz w:val="24"/>
        </w:rPr>
      </w:pPr>
      <w:r>
        <w:rPr>
          <w:sz w:val="24"/>
        </w:rPr>
        <w:t>La marque de l’Union européenne contestée est enregistrée, dans la mesure pertinente aux fins du présent recours, pour des </w:t>
      </w:r>
      <w:r>
        <w:rPr>
          <w:i/>
          <w:sz w:val="24"/>
        </w:rPr>
        <w:t>chaussures </w:t>
      </w:r>
      <w:r>
        <w:rPr>
          <w:sz w:val="24"/>
        </w:rPr>
        <w:t>comprises dans la classe 25. La division d’annulation a considéré que l’usage sérieux avait été démontré pour les </w:t>
      </w:r>
      <w:r>
        <w:rPr>
          <w:i/>
          <w:sz w:val="24"/>
        </w:rPr>
        <w:t>chaussures pour femmes</w:t>
      </w:r>
      <w:r>
        <w:rPr>
          <w:sz w:val="24"/>
        </w:rPr>
        <w:t>.</w:t>
      </w:r>
    </w:p>
    <w:p>
      <w:pPr>
        <w:pStyle w:val="BodyText"/>
      </w:pPr>
    </w:p>
    <w:p>
      <w:pPr>
        <w:pStyle w:val="ListParagraph"/>
        <w:numPr>
          <w:ilvl w:val="0"/>
          <w:numId w:val="1"/>
        </w:numPr>
        <w:tabs>
          <w:tab w:pos="731" w:val="left" w:leader="none"/>
        </w:tabs>
        <w:spacing w:line="240" w:lineRule="auto" w:before="0" w:after="0"/>
        <w:ind w:left="731" w:right="161" w:hanging="567"/>
        <w:jc w:val="both"/>
        <w:rPr>
          <w:sz w:val="24"/>
        </w:rPr>
      </w:pPr>
      <w:r>
        <w:rPr>
          <w:sz w:val="24"/>
        </w:rPr>
        <w:t>La titulaire de la marque de l’Union européenne affirme que la division d’annulation a fondé son appréciation de la preuve de l’usage sur la classification de sous-catégories</w:t>
      </w:r>
      <w:r>
        <w:rPr>
          <w:spacing w:val="40"/>
          <w:sz w:val="24"/>
        </w:rPr>
        <w:t> </w:t>
      </w:r>
      <w:r>
        <w:rPr>
          <w:sz w:val="24"/>
        </w:rPr>
        <w:t>de produits qui ne peuvent plus être constituées aujourd’hui, ce qui a conduit à un groupe</w:t>
      </w:r>
      <w:r>
        <w:rPr>
          <w:spacing w:val="-3"/>
          <w:sz w:val="24"/>
        </w:rPr>
        <w:t> </w:t>
      </w:r>
      <w:r>
        <w:rPr>
          <w:sz w:val="24"/>
        </w:rPr>
        <w:t>de</w:t>
      </w:r>
      <w:r>
        <w:rPr>
          <w:spacing w:val="-3"/>
          <w:sz w:val="24"/>
        </w:rPr>
        <w:t> </w:t>
      </w:r>
      <w:r>
        <w:rPr>
          <w:sz w:val="24"/>
        </w:rPr>
        <w:t>produits</w:t>
      </w:r>
      <w:r>
        <w:rPr>
          <w:spacing w:val="-2"/>
          <w:sz w:val="24"/>
        </w:rPr>
        <w:t> </w:t>
      </w:r>
      <w:r>
        <w:rPr>
          <w:sz w:val="24"/>
        </w:rPr>
        <w:t>dont</w:t>
      </w:r>
      <w:r>
        <w:rPr>
          <w:spacing w:val="-2"/>
          <w:sz w:val="24"/>
        </w:rPr>
        <w:t> </w:t>
      </w:r>
      <w:r>
        <w:rPr>
          <w:sz w:val="24"/>
        </w:rPr>
        <w:t>la</w:t>
      </w:r>
      <w:r>
        <w:rPr>
          <w:spacing w:val="-2"/>
          <w:sz w:val="24"/>
        </w:rPr>
        <w:t> </w:t>
      </w:r>
      <w:r>
        <w:rPr>
          <w:sz w:val="24"/>
        </w:rPr>
        <w:t>déchéance</w:t>
      </w:r>
      <w:r>
        <w:rPr>
          <w:spacing w:val="-3"/>
          <w:sz w:val="24"/>
        </w:rPr>
        <w:t> </w:t>
      </w:r>
      <w:r>
        <w:rPr>
          <w:sz w:val="24"/>
        </w:rPr>
        <w:t>est</w:t>
      </w:r>
      <w:r>
        <w:rPr>
          <w:spacing w:val="-2"/>
          <w:sz w:val="24"/>
        </w:rPr>
        <w:t> </w:t>
      </w:r>
      <w:r>
        <w:rPr>
          <w:sz w:val="24"/>
        </w:rPr>
        <w:t>inacceptable.</w:t>
      </w:r>
      <w:r>
        <w:rPr>
          <w:spacing w:val="-2"/>
          <w:sz w:val="24"/>
        </w:rPr>
        <w:t> </w:t>
      </w:r>
      <w:r>
        <w:rPr>
          <w:sz w:val="24"/>
        </w:rPr>
        <w:t>Selon</w:t>
      </w:r>
      <w:r>
        <w:rPr>
          <w:spacing w:val="-2"/>
          <w:sz w:val="24"/>
        </w:rPr>
        <w:t> </w:t>
      </w:r>
      <w:r>
        <w:rPr>
          <w:sz w:val="24"/>
        </w:rPr>
        <w:t>la</w:t>
      </w:r>
      <w:r>
        <w:rPr>
          <w:spacing w:val="-2"/>
          <w:sz w:val="24"/>
        </w:rPr>
        <w:t> </w:t>
      </w:r>
      <w:r>
        <w:rPr>
          <w:sz w:val="24"/>
        </w:rPr>
        <w:t>titulaire</w:t>
      </w:r>
      <w:r>
        <w:rPr>
          <w:spacing w:val="-3"/>
          <w:sz w:val="24"/>
        </w:rPr>
        <w:t> </w:t>
      </w:r>
      <w:r>
        <w:rPr>
          <w:sz w:val="24"/>
        </w:rPr>
        <w:t>de</w:t>
      </w:r>
      <w:r>
        <w:rPr>
          <w:spacing w:val="-1"/>
          <w:sz w:val="24"/>
        </w:rPr>
        <w:t> </w:t>
      </w:r>
      <w:r>
        <w:rPr>
          <w:sz w:val="24"/>
        </w:rPr>
        <w:t>la</w:t>
      </w:r>
      <w:r>
        <w:rPr>
          <w:spacing w:val="-2"/>
          <w:sz w:val="24"/>
        </w:rPr>
        <w:t> </w:t>
      </w:r>
      <w:r>
        <w:rPr>
          <w:sz w:val="24"/>
        </w:rPr>
        <w:t>marque</w:t>
      </w:r>
      <w:r>
        <w:rPr>
          <w:spacing w:val="-4"/>
          <w:sz w:val="24"/>
        </w:rPr>
        <w:t> </w:t>
      </w:r>
      <w:r>
        <w:rPr>
          <w:sz w:val="24"/>
        </w:rPr>
        <w:t>de l’Union européenne, près de 20 ans après l’arrêt «ALADIN» (14/07/2005, T-126/03, ALADIN, EU:T:2005:288), il n’est, dans de nombreux cas, plus possible de</w:t>
      </w:r>
      <w:r>
        <w:rPr>
          <w:spacing w:val="40"/>
          <w:sz w:val="24"/>
        </w:rPr>
        <w:t> </w:t>
      </w:r>
      <w:r>
        <w:rPr>
          <w:sz w:val="24"/>
        </w:rPr>
        <w:t>différencier les chaussures pour hommes et pour femmes, mais aussi dans le cas de bijoux pour hommes et femmes et de nombreux ou d’autres domaines dans le domaine des articles de mode. Ce qui était indiscutable dans le passé est désormais discutable. Les frontières entre la mode des hommes et celle des femmes deviennent de plus en</w:t>
      </w:r>
      <w:r>
        <w:rPr>
          <w:spacing w:val="40"/>
          <w:sz w:val="24"/>
        </w:rPr>
        <w:t> </w:t>
      </w:r>
      <w:r>
        <w:rPr>
          <w:sz w:val="24"/>
        </w:rPr>
        <w:t>plus floues et disparaissent de plus en plus.</w:t>
      </w:r>
    </w:p>
    <w:p>
      <w:pPr>
        <w:pStyle w:val="BodyText"/>
        <w:spacing w:before="1"/>
      </w:pPr>
    </w:p>
    <w:p>
      <w:pPr>
        <w:pStyle w:val="ListParagraph"/>
        <w:numPr>
          <w:ilvl w:val="0"/>
          <w:numId w:val="1"/>
        </w:numPr>
        <w:tabs>
          <w:tab w:pos="731" w:val="left" w:leader="none"/>
        </w:tabs>
        <w:spacing w:line="240" w:lineRule="auto" w:before="0" w:after="0"/>
        <w:ind w:left="731" w:right="160" w:hanging="567"/>
        <w:jc w:val="both"/>
        <w:rPr>
          <w:sz w:val="24"/>
        </w:rPr>
      </w:pPr>
      <w:r>
        <w:rPr>
          <w:sz w:val="24"/>
        </w:rPr>
        <w:t>Après examen des éléments de preuve, la chambre de recours conclut que l’usage sérieux de la marque n’a effectivement été démontré que </w:t>
      </w:r>
      <w:r>
        <w:rPr>
          <w:i/>
          <w:sz w:val="24"/>
        </w:rPr>
        <w:t>pour des chaussures pour </w:t>
      </w:r>
      <w:r>
        <w:rPr>
          <w:i/>
          <w:spacing w:val="-2"/>
          <w:sz w:val="24"/>
        </w:rPr>
        <w:t>femmes</w:t>
      </w:r>
      <w:r>
        <w:rPr>
          <w:spacing w:val="-2"/>
          <w:sz w:val="24"/>
        </w:rPr>
        <w:t>.</w:t>
      </w:r>
    </w:p>
    <w:p>
      <w:pPr>
        <w:pStyle w:val="BodyText"/>
      </w:pPr>
    </w:p>
    <w:p>
      <w:pPr>
        <w:pStyle w:val="ListParagraph"/>
        <w:numPr>
          <w:ilvl w:val="0"/>
          <w:numId w:val="1"/>
        </w:numPr>
        <w:tabs>
          <w:tab w:pos="731" w:val="left" w:leader="none"/>
        </w:tabs>
        <w:spacing w:line="240" w:lineRule="auto" w:before="0" w:after="0"/>
        <w:ind w:left="731" w:right="161" w:hanging="567"/>
        <w:jc w:val="both"/>
        <w:rPr>
          <w:sz w:val="24"/>
        </w:rPr>
      </w:pPr>
      <w:r>
        <w:rPr>
          <w:sz w:val="24"/>
        </w:rPr>
        <w:t>La titulaire de la MUE fait valoir que les factures ne contiennent aucune indication selon laquelle les chaussures vendues à des clients ne sont que des chaussures pour femmes et, en outre, rien dans les autres éléments de preuve de l’usage n’indique que les chaussures étaient destinées uniquement aux femmes en tant que clients, que seules les femmes étaient censées les acheter ou que la distribution visait explicitement à vendre les chaussures WONDERGIRL uniquement à la vente au détail de chaussures pour dames.</w:t>
      </w:r>
    </w:p>
    <w:p>
      <w:pPr>
        <w:pStyle w:val="BodyText"/>
        <w:spacing w:before="1"/>
      </w:pPr>
    </w:p>
    <w:p>
      <w:pPr>
        <w:pStyle w:val="ListParagraph"/>
        <w:numPr>
          <w:ilvl w:val="0"/>
          <w:numId w:val="1"/>
        </w:numPr>
        <w:tabs>
          <w:tab w:pos="731" w:val="left" w:leader="none"/>
        </w:tabs>
        <w:spacing w:line="240" w:lineRule="auto" w:before="0" w:after="0"/>
        <w:ind w:left="731" w:right="163" w:hanging="567"/>
        <w:jc w:val="both"/>
        <w:rPr>
          <w:sz w:val="24"/>
        </w:rPr>
      </w:pPr>
      <w:r>
        <w:rPr>
          <w:sz w:val="24"/>
        </w:rPr>
        <w:t>Toutefois, la chambre de recours observe que les chaussures proposées à la vente par la titulaire</w:t>
      </w:r>
      <w:r>
        <w:rPr>
          <w:spacing w:val="39"/>
          <w:sz w:val="24"/>
        </w:rPr>
        <w:t> </w:t>
      </w:r>
      <w:r>
        <w:rPr>
          <w:sz w:val="24"/>
        </w:rPr>
        <w:t>de</w:t>
      </w:r>
      <w:r>
        <w:rPr>
          <w:spacing w:val="40"/>
          <w:sz w:val="24"/>
        </w:rPr>
        <w:t> </w:t>
      </w:r>
      <w:r>
        <w:rPr>
          <w:sz w:val="24"/>
        </w:rPr>
        <w:t>la</w:t>
      </w:r>
      <w:r>
        <w:rPr>
          <w:spacing w:val="40"/>
          <w:sz w:val="24"/>
        </w:rPr>
        <w:t> </w:t>
      </w:r>
      <w:r>
        <w:rPr>
          <w:sz w:val="24"/>
        </w:rPr>
        <w:t>marque</w:t>
      </w:r>
      <w:r>
        <w:rPr>
          <w:spacing w:val="40"/>
          <w:sz w:val="24"/>
        </w:rPr>
        <w:t> </w:t>
      </w:r>
      <w:r>
        <w:rPr>
          <w:sz w:val="24"/>
        </w:rPr>
        <w:t>de</w:t>
      </w:r>
      <w:r>
        <w:rPr>
          <w:spacing w:val="40"/>
          <w:sz w:val="24"/>
        </w:rPr>
        <w:t> </w:t>
      </w:r>
      <w:r>
        <w:rPr>
          <w:sz w:val="24"/>
        </w:rPr>
        <w:t>l’Union</w:t>
      </w:r>
      <w:r>
        <w:rPr>
          <w:spacing w:val="40"/>
          <w:sz w:val="24"/>
        </w:rPr>
        <w:t> </w:t>
      </w:r>
      <w:r>
        <w:rPr>
          <w:sz w:val="24"/>
        </w:rPr>
        <w:t>européenne</w:t>
      </w:r>
      <w:r>
        <w:rPr>
          <w:spacing w:val="40"/>
          <w:sz w:val="24"/>
        </w:rPr>
        <w:t> </w:t>
      </w:r>
      <w:r>
        <w:rPr>
          <w:sz w:val="24"/>
        </w:rPr>
        <w:t>sur</w:t>
      </w:r>
      <w:r>
        <w:rPr>
          <w:spacing w:val="40"/>
          <w:sz w:val="24"/>
        </w:rPr>
        <w:t> </w:t>
      </w:r>
      <w:r>
        <w:rPr>
          <w:sz w:val="24"/>
        </w:rPr>
        <w:t>son</w:t>
      </w:r>
      <w:r>
        <w:rPr>
          <w:spacing w:val="40"/>
          <w:sz w:val="24"/>
        </w:rPr>
        <w:t> </w:t>
      </w:r>
      <w:r>
        <w:rPr>
          <w:sz w:val="24"/>
        </w:rPr>
        <w:t>site</w:t>
      </w:r>
      <w:r>
        <w:rPr>
          <w:spacing w:val="40"/>
          <w:sz w:val="24"/>
        </w:rPr>
        <w:t> </w:t>
      </w:r>
      <w:r>
        <w:rPr>
          <w:sz w:val="24"/>
        </w:rPr>
        <w:t>internet</w:t>
      </w:r>
      <w:r>
        <w:rPr>
          <w:spacing w:val="40"/>
          <w:sz w:val="24"/>
        </w:rPr>
        <w:t> </w:t>
      </w:r>
      <w:r>
        <w:rPr>
          <w:sz w:val="24"/>
        </w:rPr>
        <w:t>sous</w:t>
      </w:r>
      <w:r>
        <w:rPr>
          <w:spacing w:val="40"/>
          <w:sz w:val="24"/>
        </w:rPr>
        <w:t> </w:t>
      </w:r>
      <w:r>
        <w:rPr>
          <w:sz w:val="24"/>
        </w:rPr>
        <w:t>la</w:t>
      </w:r>
      <w:r>
        <w:rPr>
          <w:spacing w:val="40"/>
          <w:sz w:val="24"/>
        </w:rPr>
        <w:t> </w:t>
      </w:r>
      <w:r>
        <w:rPr>
          <w:sz w:val="24"/>
        </w:rPr>
        <w:t>catégorie</w:t>
      </w:r>
    </w:p>
    <w:p>
      <w:pPr>
        <w:pStyle w:val="BodyText"/>
        <w:ind w:left="731" w:right="165"/>
        <w:jc w:val="both"/>
      </w:pPr>
      <w:r>
        <w:rPr/>
        <w:t>«</w:t>
      </w:r>
      <w:hyperlink r:id="rId20">
        <w:r>
          <w:rPr>
            <w:color w:val="0000FF"/>
            <w:u w:val="single" w:color="0000FF"/>
          </w:rPr>
          <w:t>men</w:t>
        </w:r>
      </w:hyperlink>
      <w:r>
        <w:rPr/>
        <w:t>» (https://</w:t>
      </w:r>
      <w:hyperlink r:id="rId21">
        <w:r>
          <w:rPr/>
          <w:t>www.copenhagenstudios.com/shop/men/,</w:t>
        </w:r>
      </w:hyperlink>
      <w:r>
        <w:rPr/>
        <w:t> consulté le 25 mars 2025) portent des tailles de 40 à 47. Au contraire, les chaussures proposées à la vente par la titulaire</w:t>
      </w:r>
      <w:r>
        <w:rPr>
          <w:spacing w:val="38"/>
        </w:rPr>
        <w:t> </w:t>
      </w:r>
      <w:r>
        <w:rPr/>
        <w:t>de</w:t>
      </w:r>
      <w:r>
        <w:rPr>
          <w:spacing w:val="41"/>
        </w:rPr>
        <w:t> </w:t>
      </w:r>
      <w:r>
        <w:rPr/>
        <w:t>la</w:t>
      </w:r>
      <w:r>
        <w:rPr>
          <w:spacing w:val="42"/>
        </w:rPr>
        <w:t> </w:t>
      </w:r>
      <w:r>
        <w:rPr/>
        <w:t>marque</w:t>
      </w:r>
      <w:r>
        <w:rPr>
          <w:spacing w:val="41"/>
        </w:rPr>
        <w:t> </w:t>
      </w:r>
      <w:r>
        <w:rPr/>
        <w:t>de</w:t>
      </w:r>
      <w:r>
        <w:rPr>
          <w:spacing w:val="42"/>
        </w:rPr>
        <w:t> </w:t>
      </w:r>
      <w:r>
        <w:rPr/>
        <w:t>l’Union</w:t>
      </w:r>
      <w:r>
        <w:rPr>
          <w:spacing w:val="42"/>
        </w:rPr>
        <w:t> </w:t>
      </w:r>
      <w:r>
        <w:rPr/>
        <w:t>européenne</w:t>
      </w:r>
      <w:r>
        <w:rPr>
          <w:spacing w:val="42"/>
        </w:rPr>
        <w:t> </w:t>
      </w:r>
      <w:r>
        <w:rPr/>
        <w:t>sur</w:t>
      </w:r>
      <w:r>
        <w:rPr>
          <w:spacing w:val="41"/>
        </w:rPr>
        <w:t> </w:t>
      </w:r>
      <w:r>
        <w:rPr/>
        <w:t>son</w:t>
      </w:r>
      <w:r>
        <w:rPr>
          <w:spacing w:val="43"/>
        </w:rPr>
        <w:t> </w:t>
      </w:r>
      <w:r>
        <w:rPr/>
        <w:t>site</w:t>
      </w:r>
      <w:r>
        <w:rPr>
          <w:spacing w:val="41"/>
        </w:rPr>
        <w:t> </w:t>
      </w:r>
      <w:r>
        <w:rPr/>
        <w:t>internet</w:t>
      </w:r>
      <w:r>
        <w:rPr>
          <w:spacing w:val="43"/>
        </w:rPr>
        <w:t> </w:t>
      </w:r>
      <w:r>
        <w:rPr/>
        <w:t>sous</w:t>
      </w:r>
      <w:r>
        <w:rPr>
          <w:spacing w:val="44"/>
        </w:rPr>
        <w:t> </w:t>
      </w:r>
      <w:r>
        <w:rPr/>
        <w:t>la</w:t>
      </w:r>
      <w:r>
        <w:rPr>
          <w:spacing w:val="42"/>
        </w:rPr>
        <w:t> </w:t>
      </w:r>
      <w:r>
        <w:rPr>
          <w:spacing w:val="-2"/>
        </w:rPr>
        <w:t>catégorie</w:t>
      </w:r>
    </w:p>
    <w:p>
      <w:pPr>
        <w:pStyle w:val="BodyText"/>
        <w:ind w:left="731" w:right="161"/>
        <w:jc w:val="both"/>
      </w:pPr>
      <w:r>
        <w:rPr/>
        <mc:AlternateContent>
          <mc:Choice Requires="wps">
            <w:drawing>
              <wp:anchor distT="0" distB="0" distL="0" distR="0" allowOverlap="1" layoutInCell="1" locked="0" behindDoc="0" simplePos="0" relativeHeight="15742976">
                <wp:simplePos x="0" y="0"/>
                <wp:positionH relativeFrom="page">
                  <wp:posOffset>5075809</wp:posOffset>
                </wp:positionH>
                <wp:positionV relativeFrom="paragraph">
                  <wp:posOffset>159198</wp:posOffset>
                </wp:positionV>
                <wp:extent cx="38100" cy="762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399.670013pt;margin-top:12.535333pt;width:3pt;height:.599980pt;mso-position-horizontal-relative:page;mso-position-vertical-relative:paragraph;z-index:15742976" id="docshape26" filled="true" fillcolor="#0000ff" stroked="false">
                <v:fill type="solid"/>
                <w10:wrap type="none"/>
              </v:rect>
            </w:pict>
          </mc:Fallback>
        </mc:AlternateContent>
      </w:r>
      <w:r>
        <w:rPr/>
        <w:t>«femmes</w:t>
      </w:r>
      <w:hyperlink r:id="rId22">
        <w:r>
          <w:rPr>
            <w:color w:val="0000FF"/>
            <w:u w:val="single" w:color="0000FF"/>
          </w:rPr>
          <w:t>»</w:t>
        </w:r>
      </w:hyperlink>
      <w:r>
        <w:rPr/>
        <w:t>(https:/</w:t>
      </w:r>
      <w:hyperlink r:id="rId23">
        <w:r>
          <w:rPr/>
          <w:t>/www.copenhagenstudios.com/shop/women/</w:t>
        </w:r>
        <w:r>
          <w:rPr>
            <w:color w:val="0000FF"/>
          </w:rPr>
          <w:t>,</w:t>
        </w:r>
        <w:r>
          <w:rPr/>
          <w:t>consulté</w:t>
        </w:r>
      </w:hyperlink>
      <w:r>
        <w:rPr/>
        <w:t> le 25 mars 2025)</w:t>
      </w:r>
      <w:r>
        <w:rPr>
          <w:spacing w:val="-2"/>
        </w:rPr>
        <w:t> </w:t>
      </w:r>
      <w:r>
        <w:rPr/>
        <w:t>présentent</w:t>
      </w:r>
      <w:r>
        <w:rPr>
          <w:spacing w:val="-1"/>
        </w:rPr>
        <w:t> </w:t>
      </w:r>
      <w:r>
        <w:rPr/>
        <w:t>des</w:t>
      </w:r>
      <w:r>
        <w:rPr>
          <w:spacing w:val="-2"/>
        </w:rPr>
        <w:t> </w:t>
      </w:r>
      <w:r>
        <w:rPr/>
        <w:t>tailles</w:t>
      </w:r>
      <w:r>
        <w:rPr>
          <w:spacing w:val="-2"/>
        </w:rPr>
        <w:t> </w:t>
      </w:r>
      <w:r>
        <w:rPr/>
        <w:t>de 36</w:t>
      </w:r>
      <w:r>
        <w:rPr>
          <w:spacing w:val="-1"/>
        </w:rPr>
        <w:t> </w:t>
      </w:r>
      <w:r>
        <w:rPr/>
        <w:t>à 42. Les</w:t>
      </w:r>
      <w:r>
        <w:rPr>
          <w:spacing w:val="-2"/>
        </w:rPr>
        <w:t> </w:t>
      </w:r>
      <w:r>
        <w:rPr/>
        <w:t>photos produites</w:t>
      </w:r>
      <w:r>
        <w:rPr>
          <w:spacing w:val="-2"/>
        </w:rPr>
        <w:t> </w:t>
      </w:r>
      <w:r>
        <w:rPr/>
        <w:t>à titre</w:t>
      </w:r>
      <w:r>
        <w:rPr>
          <w:spacing w:val="-3"/>
        </w:rPr>
        <w:t> </w:t>
      </w:r>
      <w:r>
        <w:rPr/>
        <w:t>de</w:t>
      </w:r>
      <w:r>
        <w:rPr>
          <w:spacing w:val="-2"/>
        </w:rPr>
        <w:t> </w:t>
      </w:r>
      <w:r>
        <w:rPr/>
        <w:t>preuve</w:t>
      </w:r>
      <w:r>
        <w:rPr>
          <w:spacing w:val="-2"/>
        </w:rPr>
        <w:t> </w:t>
      </w:r>
      <w:r>
        <w:rPr/>
        <w:t>de l’usage par la titulaire de la marque de l’Union européenne devant la division d’annulation (annexe 4, annexe 5 et pièce 7) montrent une taille de chaussure de 37. Les petites tailles de chaussures telles que 36 et 37 sont des tailles dans lesquelles des chaussures pour femmes sont couramment proposées &amp;bra; 23/01/2024, R 607/2023-5, S (fig.), § 73 &amp;ket;.</w:t>
      </w:r>
    </w:p>
    <w:p>
      <w:pPr>
        <w:pStyle w:val="BodyText"/>
        <w:spacing w:before="1"/>
      </w:pPr>
    </w:p>
    <w:p>
      <w:pPr>
        <w:pStyle w:val="ListParagraph"/>
        <w:numPr>
          <w:ilvl w:val="0"/>
          <w:numId w:val="1"/>
        </w:numPr>
        <w:tabs>
          <w:tab w:pos="731" w:val="left" w:leader="none"/>
        </w:tabs>
        <w:spacing w:line="240" w:lineRule="auto" w:before="0" w:after="0"/>
        <w:ind w:left="731" w:right="161" w:hanging="567"/>
        <w:jc w:val="both"/>
        <w:rPr>
          <w:sz w:val="24"/>
        </w:rPr>
      </w:pPr>
      <w:r>
        <w:rPr>
          <w:sz w:val="24"/>
        </w:rPr>
        <w:t>En outre, la grande majorité des commandes, factures et bons de livraison présentés devant la</w:t>
      </w:r>
      <w:r>
        <w:rPr>
          <w:spacing w:val="-1"/>
          <w:sz w:val="24"/>
        </w:rPr>
        <w:t> </w:t>
      </w:r>
      <w:r>
        <w:rPr>
          <w:sz w:val="24"/>
        </w:rPr>
        <w:t>division d’annulation (annexes 1 et 2 et pièces 2, 3 et 4)</w:t>
      </w:r>
      <w:r>
        <w:rPr>
          <w:spacing w:val="-1"/>
          <w:sz w:val="24"/>
        </w:rPr>
        <w:t> </w:t>
      </w:r>
      <w:r>
        <w:rPr>
          <w:sz w:val="24"/>
        </w:rPr>
        <w:t>concernent des tailles de chaussures de 36 à 39, c’est-à-dire des chaussures que la titulaire de la marque de l’Union européenne qualifie elle-même de chaussures pour femmes sur son site</w:t>
      </w:r>
      <w:r>
        <w:rPr>
          <w:spacing w:val="40"/>
          <w:sz w:val="24"/>
        </w:rPr>
        <w:t> </w:t>
      </w:r>
      <w:r>
        <w:rPr>
          <w:sz w:val="24"/>
        </w:rPr>
        <w:t>internet. Les factures adressées par un fabricant en Italie à la titulaire de la marque de l’Union européenne, datées du 6 novembre 2020 au 15 février 2021 (pièce 5),</w:t>
      </w:r>
      <w:r>
        <w:rPr>
          <w:spacing w:val="-1"/>
          <w:sz w:val="24"/>
        </w:rPr>
        <w:t> </w:t>
      </w:r>
      <w:r>
        <w:rPr>
          <w:sz w:val="24"/>
        </w:rPr>
        <w:t>décrivent</w:t>
      </w:r>
    </w:p>
    <w:p>
      <w:pPr>
        <w:pStyle w:val="BodyText"/>
        <w:rPr>
          <w:sz w:val="18"/>
        </w:rPr>
      </w:pPr>
    </w:p>
    <w:p>
      <w:pPr>
        <w:pStyle w:val="BodyText"/>
        <w:spacing w:before="175"/>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spacing w:before="204"/>
        <w:ind w:left="731" w:right="0" w:firstLine="0"/>
        <w:jc w:val="left"/>
        <w:rPr>
          <w:sz w:val="24"/>
        </w:rPr>
      </w:pPr>
      <w:r>
        <w:rPr>
          <w:sz w:val="24"/>
        </w:rPr>
        <mc:AlternateContent>
          <mc:Choice Requires="wps">
            <w:drawing>
              <wp:anchor distT="0" distB="0" distL="0" distR="0" allowOverlap="1" layoutInCell="1" locked="0" behindDoc="0" simplePos="0" relativeHeight="15744000">
                <wp:simplePos x="0" y="0"/>
                <wp:positionH relativeFrom="page">
                  <wp:posOffset>270575</wp:posOffset>
                </wp:positionH>
                <wp:positionV relativeFrom="page">
                  <wp:posOffset>1114363</wp:posOffset>
                </wp:positionV>
                <wp:extent cx="146050" cy="921004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4000" type="#_x0000_t202" id="docshape2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4"/>
        </w:rPr>
        <w:t>les</w:t>
      </w:r>
      <w:r>
        <w:rPr>
          <w:spacing w:val="-2"/>
          <w:sz w:val="24"/>
        </w:rPr>
        <w:t> </w:t>
      </w:r>
      <w:r>
        <w:rPr>
          <w:sz w:val="24"/>
        </w:rPr>
        <w:t>articles</w:t>
      </w:r>
      <w:r>
        <w:rPr>
          <w:spacing w:val="-2"/>
          <w:sz w:val="24"/>
        </w:rPr>
        <w:t> </w:t>
      </w:r>
      <w:r>
        <w:rPr>
          <w:sz w:val="24"/>
        </w:rPr>
        <w:t>vendus</w:t>
      </w:r>
      <w:r>
        <w:rPr>
          <w:spacing w:val="-1"/>
          <w:sz w:val="24"/>
        </w:rPr>
        <w:t> </w:t>
      </w:r>
      <w:r>
        <w:rPr>
          <w:sz w:val="24"/>
        </w:rPr>
        <w:t>sous</w:t>
      </w:r>
      <w:r>
        <w:rPr>
          <w:spacing w:val="-1"/>
          <w:sz w:val="24"/>
        </w:rPr>
        <w:t> </w:t>
      </w:r>
      <w:r>
        <w:rPr>
          <w:sz w:val="24"/>
        </w:rPr>
        <w:t>le</w:t>
      </w:r>
      <w:r>
        <w:rPr>
          <w:spacing w:val="-2"/>
          <w:sz w:val="24"/>
        </w:rPr>
        <w:t> </w:t>
      </w:r>
      <w:r>
        <w:rPr>
          <w:sz w:val="24"/>
        </w:rPr>
        <w:t>nom</w:t>
      </w:r>
      <w:r>
        <w:rPr>
          <w:spacing w:val="-1"/>
          <w:sz w:val="24"/>
        </w:rPr>
        <w:t> </w:t>
      </w:r>
      <w:r>
        <w:rPr>
          <w:i/>
          <w:sz w:val="24"/>
        </w:rPr>
        <w:t>de</w:t>
      </w:r>
      <w:r>
        <w:rPr>
          <w:i/>
          <w:spacing w:val="-2"/>
          <w:sz w:val="24"/>
        </w:rPr>
        <w:t> </w:t>
      </w:r>
      <w:r>
        <w:rPr>
          <w:i/>
          <w:sz w:val="24"/>
        </w:rPr>
        <w:t>«DONNA</w:t>
      </w:r>
      <w:r>
        <w:rPr>
          <w:i/>
          <w:spacing w:val="-2"/>
          <w:sz w:val="24"/>
        </w:rPr>
        <w:t> </w:t>
      </w:r>
      <w:r>
        <w:rPr>
          <w:i/>
          <w:sz w:val="24"/>
        </w:rPr>
        <w:t>Calzature»,</w:t>
      </w:r>
      <w:r>
        <w:rPr>
          <w:i/>
          <w:spacing w:val="-2"/>
          <w:sz w:val="24"/>
        </w:rPr>
        <w:t> </w:t>
      </w:r>
      <w:r>
        <w:rPr>
          <w:i/>
          <w:sz w:val="24"/>
        </w:rPr>
        <w:t>ce</w:t>
      </w:r>
      <w:r>
        <w:rPr>
          <w:i/>
          <w:spacing w:val="-2"/>
          <w:sz w:val="24"/>
        </w:rPr>
        <w:t> </w:t>
      </w:r>
      <w:r>
        <w:rPr>
          <w:i/>
          <w:sz w:val="24"/>
        </w:rPr>
        <w:t>qui</w:t>
      </w:r>
      <w:r>
        <w:rPr>
          <w:i/>
          <w:spacing w:val="-1"/>
          <w:sz w:val="24"/>
        </w:rPr>
        <w:t> </w:t>
      </w:r>
      <w:r>
        <w:rPr>
          <w:i/>
          <w:sz w:val="24"/>
        </w:rPr>
        <w:t>signifie</w:t>
      </w:r>
      <w:r>
        <w:rPr>
          <w:i/>
          <w:spacing w:val="-2"/>
          <w:sz w:val="24"/>
        </w:rPr>
        <w:t> </w:t>
      </w:r>
      <w:r>
        <w:rPr>
          <w:i/>
          <w:sz w:val="24"/>
        </w:rPr>
        <w:t>précisément</w:t>
      </w:r>
      <w:r>
        <w:rPr>
          <w:i/>
          <w:spacing w:val="-1"/>
          <w:sz w:val="24"/>
        </w:rPr>
        <w:t> </w:t>
      </w:r>
      <w:r>
        <w:rPr>
          <w:i/>
          <w:sz w:val="24"/>
        </w:rPr>
        <w:t>des chaussures pour femmes </w:t>
      </w:r>
      <w:r>
        <w:rPr>
          <w:sz w:val="24"/>
        </w:rPr>
        <w:t>en italien.</w:t>
      </w:r>
    </w:p>
    <w:p>
      <w:pPr>
        <w:pStyle w:val="BodyText"/>
        <w:ind w:left="2111"/>
        <w:rPr>
          <w:sz w:val="20"/>
        </w:rPr>
      </w:pPr>
      <w:r>
        <w:rPr>
          <w:sz w:val="20"/>
        </w:rPr>
        <w:drawing>
          <wp:inline distT="0" distB="0" distL="0" distR="0">
            <wp:extent cx="3644177" cy="2684335"/>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3644177" cy="2684335"/>
                    </a:xfrm>
                    <a:prstGeom prst="rect">
                      <a:avLst/>
                    </a:prstGeom>
                  </pic:spPr>
                </pic:pic>
              </a:graphicData>
            </a:graphic>
          </wp:inline>
        </w:drawing>
      </w:r>
      <w:r>
        <w:rPr>
          <w:sz w:val="20"/>
        </w:rPr>
      </w:r>
    </w:p>
    <w:p>
      <w:pPr>
        <w:pStyle w:val="ListParagraph"/>
        <w:numPr>
          <w:ilvl w:val="0"/>
          <w:numId w:val="1"/>
        </w:numPr>
        <w:tabs>
          <w:tab w:pos="731" w:val="left" w:leader="none"/>
        </w:tabs>
        <w:spacing w:line="240" w:lineRule="auto" w:before="92" w:after="0"/>
        <w:ind w:left="731" w:right="165" w:hanging="567"/>
        <w:jc w:val="both"/>
        <w:rPr>
          <w:sz w:val="24"/>
        </w:rPr>
      </w:pPr>
      <w:r>
        <w:rPr>
          <w:sz w:val="24"/>
        </w:rPr>
        <w:t>La titulaire de la MUE affirme également que la marque verbale WONDERGIRL en tant que telle ne justifie pas l’hypothèse selon laquelle l’usage a été établi uniquement pour des </w:t>
      </w:r>
      <w:r>
        <w:rPr>
          <w:i/>
          <w:sz w:val="24"/>
        </w:rPr>
        <w:t>chaussures pour femmes</w:t>
      </w:r>
      <w:r>
        <w:rPr>
          <w:sz w:val="24"/>
        </w:rPr>
        <w:t>. De l’avis de la titulaire de la MUE, hormis le fait qu’une wonder-girl n’est pas une femme wondre (une fille est un enfant et une femme est un adulte), aucune conclusion spéculative ne peut être tirée du libellé d’une marque en ce qui concerne les actes d’usage sérieux qui doivent être prouvés.</w:t>
      </w:r>
    </w:p>
    <w:p>
      <w:pPr>
        <w:pStyle w:val="BodyText"/>
        <w:spacing w:before="120"/>
      </w:pPr>
    </w:p>
    <w:p>
      <w:pPr>
        <w:pStyle w:val="ListParagraph"/>
        <w:numPr>
          <w:ilvl w:val="0"/>
          <w:numId w:val="1"/>
        </w:numPr>
        <w:tabs>
          <w:tab w:pos="731" w:val="left" w:leader="none"/>
        </w:tabs>
        <w:spacing w:line="240" w:lineRule="auto" w:before="0" w:after="0"/>
        <w:ind w:left="731" w:right="162" w:hanging="567"/>
        <w:jc w:val="both"/>
        <w:rPr>
          <w:sz w:val="24"/>
        </w:rPr>
      </w:pPr>
      <w:r>
        <w:rPr>
          <w:sz w:val="24"/>
        </w:rPr>
        <w:t>La</w:t>
      </w:r>
      <w:r>
        <w:rPr>
          <w:spacing w:val="-1"/>
          <w:sz w:val="24"/>
        </w:rPr>
        <w:t> </w:t>
      </w:r>
      <w:r>
        <w:rPr>
          <w:sz w:val="24"/>
        </w:rPr>
        <w:t>chambre</w:t>
      </w:r>
      <w:r>
        <w:rPr>
          <w:spacing w:val="-2"/>
          <w:sz w:val="24"/>
        </w:rPr>
        <w:t> </w:t>
      </w:r>
      <w:r>
        <w:rPr>
          <w:sz w:val="24"/>
        </w:rPr>
        <w:t>de</w:t>
      </w:r>
      <w:r>
        <w:rPr>
          <w:spacing w:val="-1"/>
          <w:sz w:val="24"/>
        </w:rPr>
        <w:t> </w:t>
      </w:r>
      <w:r>
        <w:rPr>
          <w:sz w:val="24"/>
        </w:rPr>
        <w:t>recours</w:t>
      </w:r>
      <w:r>
        <w:rPr>
          <w:spacing w:val="-1"/>
          <w:sz w:val="24"/>
        </w:rPr>
        <w:t> </w:t>
      </w:r>
      <w:r>
        <w:rPr>
          <w:sz w:val="24"/>
        </w:rPr>
        <w:t>rejoint</w:t>
      </w:r>
      <w:r>
        <w:rPr>
          <w:spacing w:val="-2"/>
          <w:sz w:val="24"/>
        </w:rPr>
        <w:t> </w:t>
      </w:r>
      <w:r>
        <w:rPr>
          <w:sz w:val="24"/>
        </w:rPr>
        <w:t>la</w:t>
      </w:r>
      <w:r>
        <w:rPr>
          <w:spacing w:val="-3"/>
          <w:sz w:val="24"/>
        </w:rPr>
        <w:t> </w:t>
      </w:r>
      <w:r>
        <w:rPr>
          <w:sz w:val="24"/>
        </w:rPr>
        <w:t>titulaire</w:t>
      </w:r>
      <w:r>
        <w:rPr>
          <w:spacing w:val="-4"/>
          <w:sz w:val="24"/>
        </w:rPr>
        <w:t> </w:t>
      </w:r>
      <w:r>
        <w:rPr>
          <w:sz w:val="24"/>
        </w:rPr>
        <w:t>de</w:t>
      </w:r>
      <w:r>
        <w:rPr>
          <w:spacing w:val="-1"/>
          <w:sz w:val="24"/>
        </w:rPr>
        <w:t> </w:t>
      </w:r>
      <w:r>
        <w:rPr>
          <w:sz w:val="24"/>
        </w:rPr>
        <w:t>la</w:t>
      </w:r>
      <w:r>
        <w:rPr>
          <w:spacing w:val="-2"/>
          <w:sz w:val="24"/>
        </w:rPr>
        <w:t> </w:t>
      </w:r>
      <w:r>
        <w:rPr>
          <w:sz w:val="24"/>
        </w:rPr>
        <w:t>marque</w:t>
      </w:r>
      <w:r>
        <w:rPr>
          <w:spacing w:val="-3"/>
          <w:sz w:val="24"/>
        </w:rPr>
        <w:t> </w:t>
      </w:r>
      <w:r>
        <w:rPr>
          <w:sz w:val="24"/>
        </w:rPr>
        <w:t>de</w:t>
      </w:r>
      <w:r>
        <w:rPr>
          <w:spacing w:val="-1"/>
          <w:sz w:val="24"/>
        </w:rPr>
        <w:t> </w:t>
      </w:r>
      <w:r>
        <w:rPr>
          <w:sz w:val="24"/>
        </w:rPr>
        <w:t>l’Union européenne</w:t>
      </w:r>
      <w:r>
        <w:rPr>
          <w:spacing w:val="-3"/>
          <w:sz w:val="24"/>
        </w:rPr>
        <w:t> </w:t>
      </w:r>
      <w:r>
        <w:rPr>
          <w:sz w:val="24"/>
        </w:rPr>
        <w:t>sur</w:t>
      </w:r>
      <w:r>
        <w:rPr>
          <w:spacing w:val="-1"/>
          <w:sz w:val="24"/>
        </w:rPr>
        <w:t> </w:t>
      </w:r>
      <w:r>
        <w:rPr>
          <w:sz w:val="24"/>
        </w:rPr>
        <w:t>le</w:t>
      </w:r>
      <w:r>
        <w:rPr>
          <w:spacing w:val="-1"/>
          <w:sz w:val="24"/>
        </w:rPr>
        <w:t> </w:t>
      </w:r>
      <w:r>
        <w:rPr>
          <w:sz w:val="24"/>
        </w:rPr>
        <w:t>fait que l’établissement de sous-catégories dans les affaires de déchéance doit être effectué</w:t>
      </w:r>
      <w:r>
        <w:rPr>
          <w:spacing w:val="40"/>
          <w:sz w:val="24"/>
        </w:rPr>
        <w:t> </w:t>
      </w:r>
      <w:r>
        <w:rPr>
          <w:sz w:val="24"/>
        </w:rPr>
        <w:t>à la lumière des preuves de l’usage sérieux produites (-19/04/2013, T 454/11, Al</w:t>
      </w:r>
      <w:r>
        <w:rPr>
          <w:spacing w:val="40"/>
          <w:sz w:val="24"/>
        </w:rPr>
        <w:t> </w:t>
      </w:r>
      <w:r>
        <w:rPr>
          <w:sz w:val="24"/>
        </w:rPr>
        <w:t>bustan, EU:T:2013:206, § 36-37). Néanmoins, cela ne signifie pas qu’il est indifférent qu’un consommateur qui souhaite acheter un produit relevant de la catégorie des produits couverts par la marque en cause associe tous les produits appartenant à cette catégorie à ladite marque (22/10/2020, C-720/18 indirects C-721/18, Ferrari SpA, EU:C:2020:854, § 43).</w:t>
      </w:r>
    </w:p>
    <w:p>
      <w:pPr>
        <w:pStyle w:val="BodyText"/>
      </w:pPr>
    </w:p>
    <w:p>
      <w:pPr>
        <w:pStyle w:val="ListParagraph"/>
        <w:numPr>
          <w:ilvl w:val="0"/>
          <w:numId w:val="1"/>
        </w:numPr>
        <w:tabs>
          <w:tab w:pos="731" w:val="left" w:leader="none"/>
          <w:tab w:pos="2133" w:val="left" w:leader="none"/>
          <w:tab w:pos="3602" w:val="left" w:leader="none"/>
          <w:tab w:pos="5297" w:val="left" w:leader="none"/>
          <w:tab w:pos="7006" w:val="left" w:leader="none"/>
          <w:tab w:pos="8340" w:val="left" w:leader="none"/>
        </w:tabs>
        <w:spacing w:line="240" w:lineRule="auto" w:before="1" w:after="0"/>
        <w:ind w:left="731" w:right="162" w:hanging="567"/>
        <w:jc w:val="both"/>
        <w:rPr>
          <w:sz w:val="24"/>
        </w:rPr>
      </w:pPr>
      <w:r>
        <w:rPr>
          <w:sz w:val="24"/>
        </w:rPr>
        <w:t>En l’espèce, un consommateur souhaitant acheter un produit relevant de la sous- catégorie « </w:t>
      </w:r>
      <w:r>
        <w:rPr>
          <w:i/>
          <w:sz w:val="24"/>
        </w:rPr>
        <w:t>chaussures pour femmes</w:t>
      </w:r>
      <w:r>
        <w:rPr>
          <w:sz w:val="24"/>
        </w:rPr>
        <w:t>» désignées par la marque en cause (tel que défini par la division d’annulation) associera effectivement tous les produits appartenant à cette sous-catégorie à la marque contestée comportant le terme «wonder girl»</w:t>
      </w:r>
      <w:r>
        <w:rPr>
          <w:spacing w:val="40"/>
          <w:sz w:val="24"/>
        </w:rPr>
        <w:t> </w:t>
      </w:r>
      <w:r>
        <w:rPr>
          <w:sz w:val="24"/>
        </w:rPr>
        <w:t>(signifiant «une fille ou une femme remarquable» selon le Collins Dictionary, consulté </w:t>
      </w:r>
      <w:r>
        <w:rPr>
          <w:spacing w:val="-6"/>
          <w:sz w:val="24"/>
        </w:rPr>
        <w:t>le</w:t>
      </w:r>
      <w:r>
        <w:rPr>
          <w:sz w:val="24"/>
        </w:rPr>
        <w:tab/>
      </w:r>
      <w:r>
        <w:rPr>
          <w:spacing w:val="-6"/>
          <w:sz w:val="24"/>
        </w:rPr>
        <w:t>25</w:t>
      </w:r>
      <w:r>
        <w:rPr>
          <w:sz w:val="24"/>
        </w:rPr>
        <w:tab/>
      </w:r>
      <w:r>
        <w:rPr>
          <w:spacing w:val="-4"/>
          <w:sz w:val="24"/>
        </w:rPr>
        <w:t>mars</w:t>
      </w:r>
      <w:r>
        <w:rPr>
          <w:sz w:val="24"/>
        </w:rPr>
        <w:tab/>
      </w:r>
      <w:r>
        <w:rPr>
          <w:spacing w:val="-4"/>
          <w:sz w:val="24"/>
        </w:rPr>
        <w:t>2025</w:t>
      </w:r>
      <w:r>
        <w:rPr>
          <w:sz w:val="24"/>
        </w:rPr>
        <w:tab/>
      </w:r>
      <w:r>
        <w:rPr>
          <w:spacing w:val="-10"/>
          <w:sz w:val="24"/>
        </w:rPr>
        <w:t>à</w:t>
      </w:r>
      <w:r>
        <w:rPr>
          <w:sz w:val="24"/>
        </w:rPr>
        <w:tab/>
      </w:r>
      <w:r>
        <w:rPr>
          <w:spacing w:val="-2"/>
          <w:sz w:val="24"/>
        </w:rPr>
        <w:t>l’adresse </w:t>
      </w:r>
      <w:hyperlink r:id="rId25">
        <w:r>
          <w:rPr>
            <w:color w:val="0000FF"/>
            <w:spacing w:val="-2"/>
            <w:sz w:val="24"/>
            <w:u w:val="single" w:color="0000FF"/>
          </w:rPr>
          <w:t>https://www.collinsdictionary.com/dictionary/english/wonder-girl</w:t>
        </w:r>
      </w:hyperlink>
      <w:r>
        <w:rPr>
          <w:spacing w:val="-2"/>
          <w:sz w:val="24"/>
        </w:rPr>
        <w:t>).</w:t>
      </w:r>
    </w:p>
    <w:p>
      <w:pPr>
        <w:pStyle w:val="BodyText"/>
      </w:pPr>
    </w:p>
    <w:p>
      <w:pPr>
        <w:pStyle w:val="ListParagraph"/>
        <w:numPr>
          <w:ilvl w:val="0"/>
          <w:numId w:val="1"/>
        </w:numPr>
        <w:tabs>
          <w:tab w:pos="731" w:val="left" w:leader="none"/>
        </w:tabs>
        <w:spacing w:line="240" w:lineRule="auto" w:before="0" w:after="0"/>
        <w:ind w:left="731" w:right="163" w:hanging="567"/>
        <w:jc w:val="both"/>
        <w:rPr>
          <w:sz w:val="24"/>
        </w:rPr>
      </w:pPr>
      <w:r>
        <w:rPr>
          <w:sz w:val="24"/>
        </w:rPr>
        <w:t>Selon la titulaire de la marque de l’Union européenne, une mode neutre pour le genre est devenue une «tendance internationale de la méga». Par conséquent, dans de nombreux cas, le public, les consommateurs, ne sont plus en mesure de dire clairement et sans ambiguïté si le produit qu’ils achètent est une chaussure pour hommes ou une chaussure pour femmes, d’autant plus que, dans de nombreux cas, les chaussures ne sont pas explicitement désignées comme des chaussures pour femmes, des chaussures pour hommes ou des chaussures unisexes.</w:t>
      </w:r>
    </w:p>
    <w:p>
      <w:pPr>
        <w:pStyle w:val="BodyText"/>
        <w:rPr>
          <w:sz w:val="18"/>
        </w:rPr>
      </w:pPr>
    </w:p>
    <w:p>
      <w:pPr>
        <w:pStyle w:val="BodyText"/>
        <w:rPr>
          <w:sz w:val="18"/>
        </w:rPr>
      </w:pPr>
    </w:p>
    <w:p>
      <w:pPr>
        <w:pStyle w:val="BodyText"/>
        <w:spacing w:before="185"/>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ListParagraph"/>
        <w:numPr>
          <w:ilvl w:val="0"/>
          <w:numId w:val="1"/>
        </w:numPr>
        <w:tabs>
          <w:tab w:pos="731" w:val="left" w:leader="none"/>
        </w:tabs>
        <w:spacing w:line="240" w:lineRule="auto" w:before="204" w:after="0"/>
        <w:ind w:left="731" w:right="166" w:hanging="567"/>
        <w:jc w:val="both"/>
        <w:rPr>
          <w:sz w:val="24"/>
        </w:rPr>
      </w:pPr>
      <w:r>
        <w:rPr>
          <w:sz w:val="24"/>
        </w:rPr>
        <mc:AlternateContent>
          <mc:Choice Requires="wps">
            <w:drawing>
              <wp:anchor distT="0" distB="0" distL="0" distR="0" allowOverlap="1" layoutInCell="1" locked="0" behindDoc="0" simplePos="0" relativeHeight="15745536">
                <wp:simplePos x="0" y="0"/>
                <wp:positionH relativeFrom="page">
                  <wp:posOffset>270575</wp:posOffset>
                </wp:positionH>
                <wp:positionV relativeFrom="page">
                  <wp:posOffset>1114363</wp:posOffset>
                </wp:positionV>
                <wp:extent cx="146050" cy="921004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5536" type="#_x0000_t202" id="docshape2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sz w:val="24"/>
        </w:rPr>
        <w:t>Toutefois, à cet égard, elle considère que les détaillants de chaussures, que ce soit dans des magasins physiques ou sur l’internet, structurent toujours, de manière générale, l’offre de leurs chaussures (physiquement ou visuellement), en fonction du sexe et de l’âge,</w:t>
      </w:r>
      <w:r>
        <w:rPr>
          <w:spacing w:val="80"/>
          <w:sz w:val="24"/>
        </w:rPr>
        <w:t> </w:t>
      </w:r>
      <w:r>
        <w:rPr>
          <w:sz w:val="24"/>
        </w:rPr>
        <w:t>comme</w:t>
      </w:r>
      <w:r>
        <w:rPr>
          <w:spacing w:val="80"/>
          <w:sz w:val="24"/>
        </w:rPr>
        <w:t> </w:t>
      </w:r>
      <w:r>
        <w:rPr>
          <w:sz w:val="24"/>
        </w:rPr>
        <w:t>les</w:t>
      </w:r>
      <w:r>
        <w:rPr>
          <w:spacing w:val="70"/>
          <w:w w:val="150"/>
          <w:sz w:val="24"/>
        </w:rPr>
        <w:t> </w:t>
      </w:r>
      <w:r>
        <w:rPr>
          <w:sz w:val="24"/>
        </w:rPr>
        <w:t>«femmes»,</w:t>
      </w:r>
      <w:r>
        <w:rPr>
          <w:spacing w:val="80"/>
          <w:sz w:val="24"/>
        </w:rPr>
        <w:t> </w:t>
      </w:r>
      <w:r>
        <w:rPr>
          <w:sz w:val="24"/>
        </w:rPr>
        <w:t>les</w:t>
      </w:r>
      <w:r>
        <w:rPr>
          <w:spacing w:val="70"/>
          <w:w w:val="150"/>
          <w:sz w:val="24"/>
        </w:rPr>
        <w:t> </w:t>
      </w:r>
      <w:r>
        <w:rPr>
          <w:sz w:val="24"/>
        </w:rPr>
        <w:t>«hommes»,</w:t>
      </w:r>
      <w:r>
        <w:rPr>
          <w:spacing w:val="70"/>
          <w:w w:val="150"/>
          <w:sz w:val="24"/>
        </w:rPr>
        <w:t> </w:t>
      </w:r>
      <w:r>
        <w:rPr>
          <w:sz w:val="24"/>
        </w:rPr>
        <w:t>les</w:t>
      </w:r>
      <w:r>
        <w:rPr>
          <w:spacing w:val="70"/>
          <w:w w:val="150"/>
          <w:sz w:val="24"/>
        </w:rPr>
        <w:t> </w:t>
      </w:r>
      <w:r>
        <w:rPr>
          <w:sz w:val="24"/>
        </w:rPr>
        <w:t>«filles»,</w:t>
      </w:r>
      <w:r>
        <w:rPr>
          <w:spacing w:val="80"/>
          <w:sz w:val="24"/>
        </w:rPr>
        <w:t> </w:t>
      </w:r>
      <w:r>
        <w:rPr>
          <w:sz w:val="24"/>
        </w:rPr>
        <w:t>les</w:t>
      </w:r>
      <w:r>
        <w:rPr>
          <w:spacing w:val="70"/>
          <w:w w:val="150"/>
          <w:sz w:val="24"/>
        </w:rPr>
        <w:t> </w:t>
      </w:r>
      <w:r>
        <w:rPr>
          <w:sz w:val="24"/>
        </w:rPr>
        <w:t>«garçons»</w:t>
      </w:r>
      <w:r>
        <w:rPr>
          <w:spacing w:val="80"/>
          <w:sz w:val="24"/>
        </w:rPr>
        <w:t> </w:t>
      </w:r>
      <w:r>
        <w:rPr>
          <w:sz w:val="24"/>
        </w:rPr>
        <w:t>et</w:t>
      </w:r>
      <w:r>
        <w:rPr>
          <w:spacing w:val="80"/>
          <w:sz w:val="24"/>
        </w:rPr>
        <w:t> </w:t>
      </w:r>
      <w:r>
        <w:rPr>
          <w:sz w:val="24"/>
        </w:rPr>
        <w:t>les</w:t>
      </w:r>
    </w:p>
    <w:p>
      <w:pPr>
        <w:pStyle w:val="BodyText"/>
        <w:ind w:left="731"/>
        <w:jc w:val="both"/>
      </w:pPr>
      <w:r>
        <w:rPr/>
        <w:t>«nourrissons».</w:t>
      </w:r>
      <w:r>
        <w:rPr>
          <w:spacing w:val="62"/>
        </w:rPr>
        <w:t> </w:t>
      </w:r>
      <w:r>
        <w:rPr/>
        <w:t>De</w:t>
      </w:r>
      <w:r>
        <w:rPr>
          <w:spacing w:val="61"/>
        </w:rPr>
        <w:t> </w:t>
      </w:r>
      <w:r>
        <w:rPr/>
        <w:t>nombreux</w:t>
      </w:r>
      <w:r>
        <w:rPr>
          <w:spacing w:val="63"/>
        </w:rPr>
        <w:t> </w:t>
      </w:r>
      <w:r>
        <w:rPr/>
        <w:t>magasins</w:t>
      </w:r>
      <w:r>
        <w:rPr>
          <w:spacing w:val="60"/>
        </w:rPr>
        <w:t> </w:t>
      </w:r>
      <w:r>
        <w:rPr/>
        <w:t>de</w:t>
      </w:r>
      <w:r>
        <w:rPr>
          <w:spacing w:val="62"/>
        </w:rPr>
        <w:t> </w:t>
      </w:r>
      <w:r>
        <w:rPr/>
        <w:t>chaussures</w:t>
      </w:r>
      <w:r>
        <w:rPr>
          <w:spacing w:val="61"/>
        </w:rPr>
        <w:t> </w:t>
      </w:r>
      <w:r>
        <w:rPr/>
        <w:t>proposent</w:t>
      </w:r>
      <w:r>
        <w:rPr>
          <w:spacing w:val="61"/>
        </w:rPr>
        <w:t> </w:t>
      </w:r>
      <w:r>
        <w:rPr/>
        <w:t>exclusivement</w:t>
      </w:r>
      <w:r>
        <w:rPr>
          <w:spacing w:val="61"/>
        </w:rPr>
        <w:t> </w:t>
      </w:r>
      <w:r>
        <w:rPr>
          <w:spacing w:val="-5"/>
        </w:rPr>
        <w:t>des</w:t>
      </w:r>
    </w:p>
    <w:p>
      <w:pPr>
        <w:pStyle w:val="BodyText"/>
        <w:ind w:left="731" w:right="165"/>
        <w:jc w:val="both"/>
      </w:pPr>
      <w:r>
        <w:rPr/>
        <w:t>«chaussures pour femmes» ou, s’ils commercialisent des chaussures destinées à</w:t>
      </w:r>
      <w:r>
        <w:rPr>
          <w:spacing w:val="40"/>
        </w:rPr>
        <w:t> </w:t>
      </w:r>
      <w:r>
        <w:rPr/>
        <w:t>d’autres consommateurs cibles, séparent physiquement la section des chaussures pour femmes</w:t>
      </w:r>
      <w:r>
        <w:rPr>
          <w:spacing w:val="-1"/>
        </w:rPr>
        <w:t> </w:t>
      </w:r>
      <w:r>
        <w:rPr/>
        <w:t>du reste &amp;bra;</w:t>
      </w:r>
      <w:r>
        <w:rPr>
          <w:spacing w:val="-1"/>
        </w:rPr>
        <w:t> </w:t>
      </w:r>
      <w:r>
        <w:rPr/>
        <w:t>15/06/2018,</w:t>
      </w:r>
      <w:r>
        <w:rPr>
          <w:spacing w:val="-1"/>
        </w:rPr>
        <w:t> </w:t>
      </w:r>
      <w:r>
        <w:rPr/>
        <w:t>R</w:t>
      </w:r>
      <w:r>
        <w:rPr>
          <w:spacing w:val="-1"/>
        </w:rPr>
        <w:t> </w:t>
      </w:r>
      <w:r>
        <w:rPr/>
        <w:t>2595/2015-G,</w:t>
      </w:r>
      <w:r>
        <w:rPr>
          <w:spacing w:val="-1"/>
        </w:rPr>
        <w:t> </w:t>
      </w:r>
      <w:r>
        <w:rPr/>
        <w:t>PELLICO</w:t>
      </w:r>
      <w:r>
        <w:rPr>
          <w:spacing w:val="-1"/>
        </w:rPr>
        <w:t> </w:t>
      </w:r>
      <w:r>
        <w:rPr/>
        <w:t>(fig.),</w:t>
      </w:r>
      <w:r>
        <w:rPr>
          <w:spacing w:val="-1"/>
        </w:rPr>
        <w:t> </w:t>
      </w:r>
      <w:r>
        <w:rPr/>
        <w:t>§ 40; 06/10/22,</w:t>
      </w:r>
      <w:r>
        <w:rPr>
          <w:spacing w:val="-1"/>
        </w:rPr>
        <w:t> </w:t>
      </w:r>
      <w:r>
        <w:rPr/>
        <w:t>R 2191/2021-4, Pax, § 68).</w:t>
      </w:r>
    </w:p>
    <w:p>
      <w:pPr>
        <w:pStyle w:val="BodyText"/>
      </w:pPr>
    </w:p>
    <w:p>
      <w:pPr>
        <w:pStyle w:val="ListParagraph"/>
        <w:numPr>
          <w:ilvl w:val="0"/>
          <w:numId w:val="1"/>
        </w:numPr>
        <w:tabs>
          <w:tab w:pos="731" w:val="left" w:leader="none"/>
        </w:tabs>
        <w:spacing w:line="240" w:lineRule="auto" w:before="0" w:after="0"/>
        <w:ind w:left="731" w:right="166" w:hanging="567"/>
        <w:jc w:val="both"/>
        <w:rPr>
          <w:sz w:val="24"/>
        </w:rPr>
      </w:pPr>
      <w:r>
        <w:rPr>
          <w:sz w:val="24"/>
        </w:rPr>
        <w:t>Cela est également confirmé par la pratique et la jurisprudence en matière de dépôt de demandes de MUE. Fréquemment, les demandeurs distinguent déjà, dans leur libellé des produits, entre types de chaussures ou de vêtements, en précisant, pour hommes, femmes, garçons, filles, enfants, bébés, etc. Cette différenciation dans la spécification est traditionnellement acceptée et des spécifications telles que «chaussures pour femmes», «chaussures pour hommes», «chaussures pour hommes», «chaussures pour hommes» sont fréquemment utilisées dans les demandes &amp;bra; 15/06/2018, R 2595/2015-G, PELLICO (fig.), § 43 &amp;ket;.</w:t>
      </w:r>
    </w:p>
    <w:p>
      <w:pPr>
        <w:pStyle w:val="BodyText"/>
        <w:spacing w:before="1"/>
      </w:pPr>
    </w:p>
    <w:p>
      <w:pPr>
        <w:pStyle w:val="ListParagraph"/>
        <w:numPr>
          <w:ilvl w:val="0"/>
          <w:numId w:val="1"/>
        </w:numPr>
        <w:tabs>
          <w:tab w:pos="731" w:val="left" w:leader="none"/>
        </w:tabs>
        <w:spacing w:line="240" w:lineRule="auto" w:before="0" w:after="0"/>
        <w:ind w:left="731" w:right="161" w:hanging="567"/>
        <w:jc w:val="both"/>
        <w:rPr>
          <w:sz w:val="24"/>
        </w:rPr>
      </w:pPr>
      <w:r>
        <w:rPr>
          <w:sz w:val="24"/>
        </w:rPr>
        <w:t>La titulaire de la marque de l’Union européenne affirme que la tendance de la «mode sans soudure» est largement influencée par des étoiles de pop, telles que Harry Styles, qui</w:t>
      </w:r>
      <w:r>
        <w:rPr>
          <w:spacing w:val="75"/>
          <w:sz w:val="24"/>
        </w:rPr>
        <w:t> </w:t>
      </w:r>
      <w:r>
        <w:rPr>
          <w:sz w:val="24"/>
        </w:rPr>
        <w:t>est</w:t>
      </w:r>
      <w:r>
        <w:rPr>
          <w:spacing w:val="75"/>
          <w:sz w:val="24"/>
        </w:rPr>
        <w:t> </w:t>
      </w:r>
      <w:r>
        <w:rPr>
          <w:sz w:val="24"/>
        </w:rPr>
        <w:t>une</w:t>
      </w:r>
      <w:r>
        <w:rPr>
          <w:spacing w:val="73"/>
          <w:sz w:val="24"/>
        </w:rPr>
        <w:t> </w:t>
      </w:r>
      <w:r>
        <w:rPr>
          <w:sz w:val="24"/>
        </w:rPr>
        <w:t>icône</w:t>
      </w:r>
      <w:r>
        <w:rPr>
          <w:spacing w:val="73"/>
          <w:sz w:val="24"/>
        </w:rPr>
        <w:t> </w:t>
      </w:r>
      <w:r>
        <w:rPr>
          <w:sz w:val="24"/>
        </w:rPr>
        <w:t>de</w:t>
      </w:r>
      <w:r>
        <w:rPr>
          <w:spacing w:val="73"/>
          <w:sz w:val="24"/>
        </w:rPr>
        <w:t> </w:t>
      </w:r>
      <w:r>
        <w:rPr>
          <w:sz w:val="24"/>
        </w:rPr>
        <w:t>style</w:t>
      </w:r>
      <w:r>
        <w:rPr>
          <w:spacing w:val="74"/>
          <w:sz w:val="24"/>
        </w:rPr>
        <w:t> </w:t>
      </w:r>
      <w:r>
        <w:rPr>
          <w:sz w:val="24"/>
        </w:rPr>
        <w:t>connue</w:t>
      </w:r>
      <w:r>
        <w:rPr>
          <w:spacing w:val="73"/>
          <w:sz w:val="24"/>
        </w:rPr>
        <w:t> </w:t>
      </w:r>
      <w:r>
        <w:rPr>
          <w:sz w:val="24"/>
        </w:rPr>
        <w:t>pour</w:t>
      </w:r>
      <w:r>
        <w:rPr>
          <w:spacing w:val="73"/>
          <w:sz w:val="24"/>
        </w:rPr>
        <w:t> </w:t>
      </w:r>
      <w:r>
        <w:rPr>
          <w:sz w:val="24"/>
        </w:rPr>
        <w:t>s’habiller</w:t>
      </w:r>
      <w:r>
        <w:rPr>
          <w:spacing w:val="73"/>
          <w:sz w:val="24"/>
        </w:rPr>
        <w:t> </w:t>
      </w:r>
      <w:r>
        <w:rPr>
          <w:sz w:val="24"/>
        </w:rPr>
        <w:t>de</w:t>
      </w:r>
      <w:r>
        <w:rPr>
          <w:spacing w:val="73"/>
          <w:sz w:val="24"/>
        </w:rPr>
        <w:t> </w:t>
      </w:r>
      <w:r>
        <w:rPr>
          <w:sz w:val="24"/>
        </w:rPr>
        <w:t>manière</w:t>
      </w:r>
      <w:r>
        <w:rPr>
          <w:spacing w:val="72"/>
          <w:sz w:val="24"/>
        </w:rPr>
        <w:t> </w:t>
      </w:r>
      <w:r>
        <w:rPr>
          <w:sz w:val="24"/>
        </w:rPr>
        <w:t>prétendument</w:t>
      </w:r>
      <w:r>
        <w:rPr>
          <w:spacing w:val="74"/>
          <w:sz w:val="24"/>
        </w:rPr>
        <w:t> </w:t>
      </w:r>
      <w:r>
        <w:rPr>
          <w:sz w:val="24"/>
        </w:rPr>
        <w:t>très</w:t>
      </w:r>
    </w:p>
    <w:p>
      <w:pPr>
        <w:pStyle w:val="BodyText"/>
        <w:ind w:left="731" w:right="159"/>
        <w:jc w:val="both"/>
      </w:pPr>
      <w:r>
        <w:rPr/>
        <w:t>«féminine». Il porte souvent des colliers de perles que seules les femmes ont utilisé</w:t>
      </w:r>
      <w:r>
        <w:rPr>
          <w:spacing w:val="40"/>
        </w:rPr>
        <w:t> </w:t>
      </w:r>
      <w:r>
        <w:rPr/>
        <w:t>dans le passé. Aujourd’hui, il serait erroné de qualifier ces colliers </w:t>
      </w:r>
      <w:r>
        <w:rPr>
          <w:i/>
        </w:rPr>
        <w:t>de bijoux pour femmes</w:t>
      </w:r>
      <w:r>
        <w:rPr/>
        <w:t>. De nombreux jeunes hommes portent désormais de tels colliers. De plus en plus de fournisseurs d’articles de mode, y compris des chaussures, ne précisent pas délibérément si leurs produits sont</w:t>
      </w:r>
      <w:r>
        <w:rPr>
          <w:spacing w:val="-1"/>
        </w:rPr>
        <w:t> </w:t>
      </w:r>
      <w:r>
        <w:rPr/>
        <w:t>destinés, conçus pour être portés par des hommes ou des femmes et/ou destinés à être portés par des hommes ou des femmes. Ils sont délibérément étiquetés comme étant sans fil. Le marché de ces articles connaît une croissance rapide.</w:t>
      </w:r>
      <w:r>
        <w:rPr>
          <w:spacing w:val="-1"/>
        </w:rPr>
        <w:t> </w:t>
      </w:r>
      <w:r>
        <w:rPr/>
        <w:t>À cet effet, la</w:t>
      </w:r>
      <w:r>
        <w:rPr>
          <w:spacing w:val="-1"/>
        </w:rPr>
        <w:t> </w:t>
      </w:r>
      <w:r>
        <w:rPr/>
        <w:t>titulaire</w:t>
      </w:r>
      <w:r>
        <w:rPr>
          <w:spacing w:val="-1"/>
        </w:rPr>
        <w:t> </w:t>
      </w:r>
      <w:r>
        <w:rPr/>
        <w:t>de</w:t>
      </w:r>
      <w:r>
        <w:rPr>
          <w:spacing w:val="-1"/>
        </w:rPr>
        <w:t> </w:t>
      </w:r>
      <w:r>
        <w:rPr/>
        <w:t>la</w:t>
      </w:r>
      <w:r>
        <w:rPr>
          <w:spacing w:val="-1"/>
        </w:rPr>
        <w:t> </w:t>
      </w:r>
      <w:r>
        <w:rPr/>
        <w:t>marque</w:t>
      </w:r>
      <w:r>
        <w:rPr>
          <w:spacing w:val="-2"/>
        </w:rPr>
        <w:t> </w:t>
      </w:r>
      <w:r>
        <w:rPr/>
        <w:t>de</w:t>
      </w:r>
      <w:r>
        <w:rPr>
          <w:spacing w:val="-1"/>
        </w:rPr>
        <w:t> </w:t>
      </w:r>
      <w:r>
        <w:rPr/>
        <w:t>l’Union européenne</w:t>
      </w:r>
      <w:r>
        <w:rPr>
          <w:spacing w:val="-1"/>
        </w:rPr>
        <w:t> </w:t>
      </w:r>
      <w:r>
        <w:rPr/>
        <w:t>a</w:t>
      </w:r>
      <w:r>
        <w:rPr>
          <w:spacing w:val="-1"/>
        </w:rPr>
        <w:t> </w:t>
      </w:r>
      <w:r>
        <w:rPr/>
        <w:t>produit, dans le cadre du recours, les photos, captures d’écran et articles énumérés au</w:t>
      </w:r>
      <w:r>
        <w:rPr>
          <w:spacing w:val="40"/>
        </w:rPr>
        <w:t> </w:t>
      </w:r>
      <w:r>
        <w:rPr/>
        <w:t>paragraphe 18 de la présente décision.</w:t>
      </w:r>
    </w:p>
    <w:p>
      <w:pPr>
        <w:pStyle w:val="ListParagraph"/>
        <w:numPr>
          <w:ilvl w:val="0"/>
          <w:numId w:val="1"/>
        </w:numPr>
        <w:tabs>
          <w:tab w:pos="731" w:val="left" w:leader="none"/>
          <w:tab w:pos="2596" w:val="left" w:leader="none"/>
          <w:tab w:pos="3529" w:val="left" w:leader="none"/>
          <w:tab w:pos="4527" w:val="left" w:leader="none"/>
          <w:tab w:pos="5873" w:val="left" w:leader="none"/>
          <w:tab w:pos="7125" w:val="left" w:leader="none"/>
          <w:tab w:pos="8217" w:val="left" w:leader="none"/>
        </w:tabs>
        <w:spacing w:line="240" w:lineRule="auto" w:before="241" w:after="0"/>
        <w:ind w:left="731" w:right="164" w:hanging="567"/>
        <w:jc w:val="both"/>
        <w:rPr>
          <w:sz w:val="24"/>
        </w:rPr>
      </w:pPr>
      <w:r>
        <w:rPr>
          <w:sz w:val="24"/>
        </w:rPr>
        <mc:AlternateContent>
          <mc:Choice Requires="wps">
            <w:drawing>
              <wp:anchor distT="0" distB="0" distL="0" distR="0" allowOverlap="1" layoutInCell="1" locked="0" behindDoc="0" simplePos="0" relativeHeight="15744512">
                <wp:simplePos x="0" y="0"/>
                <wp:positionH relativeFrom="page">
                  <wp:posOffset>3620134</wp:posOffset>
                </wp:positionH>
                <wp:positionV relativeFrom="paragraph">
                  <wp:posOffset>837969</wp:posOffset>
                </wp:positionV>
                <wp:extent cx="38100" cy="762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285.049988pt;margin-top:65.981819pt;width:3pt;height:.599980pt;mso-position-horizontal-relative:page;mso-position-vertical-relative:paragraph;z-index:15744512" id="docshape29" filled="true" fillcolor="#0000ff" stroked="false">
                <v:fill type="solid"/>
                <w10:wrap type="none"/>
              </v:rect>
            </w:pict>
          </mc:Fallback>
        </mc:AlternateContent>
      </w:r>
      <w:r>
        <w:rPr>
          <w:sz w:val="24"/>
        </w:rPr>
        <w:t>Même à supposer que ces allégations correspondent à la vérité et que les éléments de preuve produits au cours de la procédure de recours suffisent à les prouver, la titulaire de la marque de l’Union européenne elle-même sur son site internet (https://</w:t>
      </w:r>
      <w:hyperlink r:id="rId26">
        <w:r>
          <w:rPr>
            <w:sz w:val="24"/>
          </w:rPr>
          <w:t>www.copenhagenstudios.com/</w:t>
        </w:r>
      </w:hyperlink>
      <w:hyperlink r:id="rId27">
        <w:r>
          <w:rPr>
            <w:color w:val="0000FF"/>
            <w:sz w:val="24"/>
          </w:rPr>
          <w:t>,</w:t>
        </w:r>
      </w:hyperlink>
      <w:r>
        <w:rPr>
          <w:color w:val="0000FF"/>
          <w:sz w:val="24"/>
        </w:rPr>
        <w:t> </w:t>
      </w:r>
      <w:r>
        <w:rPr>
          <w:sz w:val="24"/>
        </w:rPr>
        <w:t>consulté le 25 mars 2025) propose des </w:t>
      </w:r>
      <w:r>
        <w:rPr>
          <w:spacing w:val="-2"/>
          <w:sz w:val="24"/>
        </w:rPr>
        <w:t>chaussures</w:t>
      </w:r>
      <w:r>
        <w:rPr>
          <w:sz w:val="24"/>
        </w:rPr>
        <w:tab/>
      </w:r>
      <w:r>
        <w:rPr>
          <w:spacing w:val="-10"/>
          <w:sz w:val="24"/>
        </w:rPr>
        <w:t>à</w:t>
      </w:r>
      <w:r>
        <w:rPr>
          <w:sz w:val="24"/>
        </w:rPr>
        <w:tab/>
      </w:r>
      <w:r>
        <w:rPr>
          <w:spacing w:val="-6"/>
          <w:sz w:val="24"/>
        </w:rPr>
        <w:t>la</w:t>
      </w:r>
      <w:r>
        <w:rPr>
          <w:sz w:val="24"/>
        </w:rPr>
        <w:tab/>
      </w:r>
      <w:r>
        <w:rPr>
          <w:spacing w:val="-2"/>
          <w:sz w:val="24"/>
        </w:rPr>
        <w:t>vente</w:t>
      </w:r>
      <w:r>
        <w:rPr>
          <w:sz w:val="24"/>
        </w:rPr>
        <w:tab/>
      </w:r>
      <w:r>
        <w:rPr>
          <w:spacing w:val="-4"/>
          <w:sz w:val="24"/>
        </w:rPr>
        <w:t>sous</w:t>
      </w:r>
      <w:r>
        <w:rPr>
          <w:sz w:val="24"/>
        </w:rPr>
        <w:tab/>
      </w:r>
      <w:r>
        <w:rPr>
          <w:spacing w:val="-4"/>
          <w:sz w:val="24"/>
        </w:rPr>
        <w:t>les</w:t>
      </w:r>
      <w:r>
        <w:rPr>
          <w:sz w:val="24"/>
        </w:rPr>
        <w:tab/>
      </w:r>
      <w:r>
        <w:rPr>
          <w:spacing w:val="-2"/>
          <w:sz w:val="24"/>
        </w:rPr>
        <w:t>catégories</w:t>
      </w:r>
    </w:p>
    <w:p>
      <w:pPr>
        <w:pStyle w:val="BodyText"/>
        <w:tabs>
          <w:tab w:pos="9020" w:val="left" w:leader="none"/>
        </w:tabs>
        <w:ind w:left="731"/>
        <w:jc w:val="both"/>
      </w:pPr>
      <w:r>
        <w:rPr/>
        <mc:AlternateContent>
          <mc:Choice Requires="wps">
            <w:drawing>
              <wp:anchor distT="0" distB="0" distL="0" distR="0" allowOverlap="1" layoutInCell="1" locked="0" behindDoc="0" simplePos="0" relativeHeight="15745024">
                <wp:simplePos x="0" y="0"/>
                <wp:positionH relativeFrom="page">
                  <wp:posOffset>5075809</wp:posOffset>
                </wp:positionH>
                <wp:positionV relativeFrom="paragraph">
                  <wp:posOffset>159227</wp:posOffset>
                </wp:positionV>
                <wp:extent cx="50800" cy="762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399.670013pt;margin-top:12.537616pt;width:3.96pt;height:.60004pt;mso-position-horizontal-relative:page;mso-position-vertical-relative:paragraph;z-index:15745024" id="docshape30" filled="true" fillcolor="#0000ff" stroked="false">
                <v:fill type="solid"/>
                <w10:wrap type="none"/>
              </v:rect>
            </w:pict>
          </mc:Fallback>
        </mc:AlternateContent>
      </w:r>
      <w:r>
        <w:rPr>
          <w:spacing w:val="-2"/>
        </w:rPr>
        <w:t>«femmes</w:t>
      </w:r>
      <w:hyperlink r:id="rId22">
        <w:r>
          <w:rPr>
            <w:color w:val="0000FF"/>
            <w:spacing w:val="-2"/>
            <w:u w:val="single" w:color="0000FF"/>
          </w:rPr>
          <w:t>»</w:t>
        </w:r>
      </w:hyperlink>
      <w:r>
        <w:rPr>
          <w:spacing w:val="-2"/>
        </w:rPr>
        <w:t>(https:/</w:t>
      </w:r>
      <w:hyperlink r:id="rId28">
        <w:r>
          <w:rPr>
            <w:spacing w:val="-2"/>
          </w:rPr>
          <w:t>/www.copenhagenstudios.com/shop/women/</w:t>
        </w:r>
        <w:r>
          <w:rPr>
            <w:color w:val="0000FF"/>
            <w:spacing w:val="-2"/>
          </w:rPr>
          <w:t>)</w:t>
        </w:r>
      </w:hyperlink>
      <w:r>
        <w:rPr>
          <w:color w:val="0000FF"/>
        </w:rPr>
        <w:tab/>
      </w:r>
      <w:r>
        <w:rPr>
          <w:spacing w:val="-5"/>
        </w:rPr>
        <w:t>et</w:t>
      </w:r>
    </w:p>
    <w:p>
      <w:pPr>
        <w:pStyle w:val="BodyText"/>
        <w:spacing w:before="1"/>
        <w:ind w:left="731" w:right="162"/>
        <w:jc w:val="both"/>
      </w:pPr>
      <w:r>
        <w:rPr/>
        <w:t>«men»</w:t>
      </w:r>
      <w:hyperlink r:id="rId20">
        <w:r>
          <w:rPr>
            <w:color w:val="0000FF"/>
            <w:u w:val="single" w:color="0000FF"/>
          </w:rPr>
          <w:t>(https://www.copenhagenstudios.com/shop/men/</w:t>
        </w:r>
      </w:hyperlink>
      <w:r>
        <w:rPr>
          <w:color w:val="0000FF"/>
          <w:u w:val="single" w:color="0000FF"/>
        </w:rPr>
        <w:t>)</w:t>
      </w:r>
      <w:r>
        <w:rPr/>
        <w:t>. Lorsqu’ils accèdent au site web, les bottes de type Chelsea à talons hauts et bords pointues tels que ceux présentés dans les éléments de preuve produits devant la division d’annulation (annexes 3, 5 et pièce 7) sont uniquement incluses dans la sous-page des femmes: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7"/>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BodyText"/>
        <w:spacing w:before="9"/>
        <w:rPr>
          <w:sz w:val="17"/>
        </w:rPr>
      </w:pPr>
      <w:r>
        <w:rPr>
          <w:sz w:val="17"/>
        </w:rPr>
        <mc:AlternateContent>
          <mc:Choice Requires="wps">
            <w:drawing>
              <wp:anchor distT="0" distB="0" distL="0" distR="0" allowOverlap="1" layoutInCell="1" locked="0" behindDoc="0" simplePos="0" relativeHeight="15746048">
                <wp:simplePos x="0" y="0"/>
                <wp:positionH relativeFrom="page">
                  <wp:posOffset>270575</wp:posOffset>
                </wp:positionH>
                <wp:positionV relativeFrom="page">
                  <wp:posOffset>1114363</wp:posOffset>
                </wp:positionV>
                <wp:extent cx="146050" cy="921004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6048" type="#_x0000_t202" id="docshape3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p>
    <w:p>
      <w:pPr>
        <w:spacing w:line="240" w:lineRule="auto"/>
        <w:ind w:left="1201" w:right="0" w:firstLine="0"/>
        <w:jc w:val="left"/>
        <w:rPr>
          <w:sz w:val="20"/>
        </w:rPr>
      </w:pPr>
      <w:r>
        <w:rPr>
          <w:position w:val="3"/>
          <w:sz w:val="20"/>
        </w:rPr>
        <w:drawing>
          <wp:inline distT="0" distB="0" distL="0" distR="0">
            <wp:extent cx="2020816" cy="1797367"/>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29" cstate="print"/>
                    <a:stretch>
                      <a:fillRect/>
                    </a:stretch>
                  </pic:blipFill>
                  <pic:spPr>
                    <a:xfrm>
                      <a:off x="0" y="0"/>
                      <a:ext cx="2020816" cy="1797367"/>
                    </a:xfrm>
                    <a:prstGeom prst="rect">
                      <a:avLst/>
                    </a:prstGeom>
                  </pic:spPr>
                </pic:pic>
              </a:graphicData>
            </a:graphic>
          </wp:inline>
        </w:drawing>
      </w:r>
      <w:r>
        <w:rPr>
          <w:position w:val="3"/>
          <w:sz w:val="20"/>
        </w:rPr>
      </w:r>
      <w:r>
        <w:rPr>
          <w:spacing w:val="49"/>
          <w:position w:val="3"/>
          <w:sz w:val="20"/>
        </w:rPr>
        <w:t> </w:t>
      </w:r>
      <w:r>
        <w:rPr>
          <w:spacing w:val="49"/>
          <w:sz w:val="20"/>
        </w:rPr>
        <w:drawing>
          <wp:inline distT="0" distB="0" distL="0" distR="0">
            <wp:extent cx="2735191" cy="1781746"/>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30" cstate="print"/>
                    <a:stretch>
                      <a:fillRect/>
                    </a:stretch>
                  </pic:blipFill>
                  <pic:spPr>
                    <a:xfrm>
                      <a:off x="0" y="0"/>
                      <a:ext cx="2735191" cy="1781746"/>
                    </a:xfrm>
                    <a:prstGeom prst="rect">
                      <a:avLst/>
                    </a:prstGeom>
                  </pic:spPr>
                </pic:pic>
              </a:graphicData>
            </a:graphic>
          </wp:inline>
        </w:drawing>
      </w:r>
      <w:r>
        <w:rPr>
          <w:spacing w:val="49"/>
          <w:sz w:val="20"/>
        </w:rPr>
      </w:r>
    </w:p>
    <w:p>
      <w:pPr>
        <w:pStyle w:val="ListParagraph"/>
        <w:numPr>
          <w:ilvl w:val="0"/>
          <w:numId w:val="1"/>
        </w:numPr>
        <w:tabs>
          <w:tab w:pos="731" w:val="left" w:leader="none"/>
        </w:tabs>
        <w:spacing w:line="240" w:lineRule="auto" w:before="212" w:after="0"/>
        <w:ind w:left="731" w:right="162" w:hanging="567"/>
        <w:jc w:val="both"/>
        <w:rPr>
          <w:sz w:val="24"/>
        </w:rPr>
      </w:pPr>
      <w:r>
        <w:rPr>
          <w:sz w:val="24"/>
        </w:rPr>
        <w:t>Enfin, la titulaire de la marque de l’Union européenne affirme que, pour définir des sous-catégories</w:t>
      </w:r>
      <w:r>
        <w:rPr>
          <w:spacing w:val="-4"/>
          <w:sz w:val="24"/>
        </w:rPr>
        <w:t> </w:t>
      </w:r>
      <w:r>
        <w:rPr>
          <w:sz w:val="24"/>
        </w:rPr>
        <w:t>adéquates</w:t>
      </w:r>
      <w:r>
        <w:rPr>
          <w:spacing w:val="-4"/>
          <w:sz w:val="24"/>
        </w:rPr>
        <w:t> </w:t>
      </w:r>
      <w:r>
        <w:rPr>
          <w:sz w:val="24"/>
        </w:rPr>
        <w:t>d’indications</w:t>
      </w:r>
      <w:r>
        <w:rPr>
          <w:spacing w:val="-4"/>
          <w:sz w:val="24"/>
        </w:rPr>
        <w:t> </w:t>
      </w:r>
      <w:r>
        <w:rPr>
          <w:sz w:val="24"/>
        </w:rPr>
        <w:t>générales,</w:t>
      </w:r>
      <w:r>
        <w:rPr>
          <w:spacing w:val="-2"/>
          <w:sz w:val="24"/>
        </w:rPr>
        <w:t> </w:t>
      </w:r>
      <w:r>
        <w:rPr>
          <w:sz w:val="24"/>
        </w:rPr>
        <w:t>le</w:t>
      </w:r>
      <w:r>
        <w:rPr>
          <w:spacing w:val="-3"/>
          <w:sz w:val="24"/>
        </w:rPr>
        <w:t> </w:t>
      </w:r>
      <w:r>
        <w:rPr>
          <w:sz w:val="24"/>
        </w:rPr>
        <w:t>critère</w:t>
      </w:r>
      <w:r>
        <w:rPr>
          <w:spacing w:val="-4"/>
          <w:sz w:val="24"/>
        </w:rPr>
        <w:t> </w:t>
      </w:r>
      <w:r>
        <w:rPr>
          <w:sz w:val="24"/>
        </w:rPr>
        <w:t>de</w:t>
      </w:r>
      <w:r>
        <w:rPr>
          <w:spacing w:val="-2"/>
          <w:sz w:val="24"/>
        </w:rPr>
        <w:t> </w:t>
      </w:r>
      <w:r>
        <w:rPr>
          <w:sz w:val="24"/>
        </w:rPr>
        <w:t>finalité</w:t>
      </w:r>
      <w:r>
        <w:rPr>
          <w:spacing w:val="-3"/>
          <w:sz w:val="24"/>
        </w:rPr>
        <w:t> </w:t>
      </w:r>
      <w:r>
        <w:rPr>
          <w:sz w:val="24"/>
        </w:rPr>
        <w:t>ou</w:t>
      </w:r>
      <w:r>
        <w:rPr>
          <w:spacing w:val="-3"/>
          <w:sz w:val="24"/>
        </w:rPr>
        <w:t> </w:t>
      </w:r>
      <w:r>
        <w:rPr>
          <w:sz w:val="24"/>
        </w:rPr>
        <w:t>de</w:t>
      </w:r>
      <w:r>
        <w:rPr>
          <w:spacing w:val="-4"/>
          <w:sz w:val="24"/>
        </w:rPr>
        <w:t> </w:t>
      </w:r>
      <w:r>
        <w:rPr>
          <w:sz w:val="24"/>
        </w:rPr>
        <w:t>destination du produit ou du service en cause revêt une importance fondamentale, étant donné que les consommateurs utilisent ce critère avant de procéder à un achat. De l’avis de la titulaire de la marque de l’Union européenne, si les produits ou services concernés ont plusieurs finalités, il n’est pas possible de créer, de manière non arbitraire, des sous- catégories distinctes en considérant séparément chacune de ces finalités.</w:t>
      </w:r>
    </w:p>
    <w:p>
      <w:pPr>
        <w:pStyle w:val="BodyText"/>
      </w:pPr>
    </w:p>
    <w:p>
      <w:pPr>
        <w:pStyle w:val="ListParagraph"/>
        <w:numPr>
          <w:ilvl w:val="0"/>
          <w:numId w:val="1"/>
        </w:numPr>
        <w:tabs>
          <w:tab w:pos="731" w:val="left" w:leader="none"/>
        </w:tabs>
        <w:spacing w:line="240" w:lineRule="auto" w:before="0" w:after="0"/>
        <w:ind w:left="731" w:right="0" w:hanging="566"/>
        <w:jc w:val="both"/>
        <w:rPr>
          <w:sz w:val="24"/>
        </w:rPr>
      </w:pPr>
      <w:r>
        <w:rPr>
          <w:sz w:val="24"/>
        </w:rPr>
        <w:t>La</w:t>
      </w:r>
      <w:r>
        <w:rPr>
          <w:spacing w:val="9"/>
          <w:sz w:val="24"/>
        </w:rPr>
        <w:t> </w:t>
      </w:r>
      <w:r>
        <w:rPr>
          <w:sz w:val="24"/>
        </w:rPr>
        <w:t>chambre</w:t>
      </w:r>
      <w:r>
        <w:rPr>
          <w:spacing w:val="9"/>
          <w:sz w:val="24"/>
        </w:rPr>
        <w:t> </w:t>
      </w:r>
      <w:r>
        <w:rPr>
          <w:sz w:val="24"/>
        </w:rPr>
        <w:t>de</w:t>
      </w:r>
      <w:r>
        <w:rPr>
          <w:spacing w:val="9"/>
          <w:sz w:val="24"/>
        </w:rPr>
        <w:t> </w:t>
      </w:r>
      <w:r>
        <w:rPr>
          <w:sz w:val="24"/>
        </w:rPr>
        <w:t>recours</w:t>
      </w:r>
      <w:r>
        <w:rPr>
          <w:spacing w:val="10"/>
          <w:sz w:val="24"/>
        </w:rPr>
        <w:t> </w:t>
      </w:r>
      <w:r>
        <w:rPr>
          <w:sz w:val="24"/>
        </w:rPr>
        <w:t>tient</w:t>
      </w:r>
      <w:r>
        <w:rPr>
          <w:spacing w:val="11"/>
          <w:sz w:val="24"/>
        </w:rPr>
        <w:t> </w:t>
      </w:r>
      <w:r>
        <w:rPr>
          <w:sz w:val="24"/>
        </w:rPr>
        <w:t>à</w:t>
      </w:r>
      <w:r>
        <w:rPr>
          <w:spacing w:val="9"/>
          <w:sz w:val="24"/>
        </w:rPr>
        <w:t> </w:t>
      </w:r>
      <w:r>
        <w:rPr>
          <w:sz w:val="24"/>
        </w:rPr>
        <w:t>souligner</w:t>
      </w:r>
      <w:r>
        <w:rPr>
          <w:spacing w:val="13"/>
          <w:sz w:val="24"/>
        </w:rPr>
        <w:t> </w:t>
      </w:r>
      <w:r>
        <w:rPr>
          <w:sz w:val="24"/>
        </w:rPr>
        <w:t>que</w:t>
      </w:r>
      <w:r>
        <w:rPr>
          <w:spacing w:val="9"/>
          <w:sz w:val="24"/>
        </w:rPr>
        <w:t> </w:t>
      </w:r>
      <w:r>
        <w:rPr>
          <w:sz w:val="24"/>
        </w:rPr>
        <w:t>la</w:t>
      </w:r>
      <w:r>
        <w:rPr>
          <w:spacing w:val="12"/>
          <w:sz w:val="24"/>
        </w:rPr>
        <w:t> </w:t>
      </w:r>
      <w:r>
        <w:rPr>
          <w:sz w:val="24"/>
        </w:rPr>
        <w:t>catégorie</w:t>
      </w:r>
      <w:r>
        <w:rPr>
          <w:spacing w:val="11"/>
          <w:sz w:val="24"/>
        </w:rPr>
        <w:t> </w:t>
      </w:r>
      <w:r>
        <w:rPr>
          <w:sz w:val="24"/>
        </w:rPr>
        <w:t>générale</w:t>
      </w:r>
      <w:r>
        <w:rPr>
          <w:spacing w:val="10"/>
          <w:sz w:val="24"/>
        </w:rPr>
        <w:t> </w:t>
      </w:r>
      <w:r>
        <w:rPr>
          <w:sz w:val="24"/>
        </w:rPr>
        <w:t>des</w:t>
      </w:r>
      <w:r>
        <w:rPr>
          <w:spacing w:val="17"/>
          <w:sz w:val="24"/>
        </w:rPr>
        <w:t> </w:t>
      </w:r>
      <w:r>
        <w:rPr>
          <w:sz w:val="24"/>
        </w:rPr>
        <w:t>«chaussures»</w:t>
      </w:r>
      <w:r>
        <w:rPr>
          <w:spacing w:val="6"/>
          <w:sz w:val="24"/>
        </w:rPr>
        <w:t> </w:t>
      </w:r>
      <w:r>
        <w:rPr>
          <w:spacing w:val="-5"/>
          <w:sz w:val="24"/>
        </w:rPr>
        <w:t>est</w:t>
      </w:r>
    </w:p>
    <w:p>
      <w:pPr>
        <w:pStyle w:val="BodyText"/>
        <w:ind w:left="731" w:right="160"/>
        <w:jc w:val="both"/>
      </w:pPr>
      <w:r>
        <w:rPr/>
        <w:t>«susceptible d’inclure un large éventail de produits à différentes fins, ayant des caractéristiques différentes, qui peuvent nécessiter des niveaux très différents de compétences techniques et de savoir-faire pour être fabriqués et pourraient cibler différents consommateurs, être vendus par des canaux de distribution différents et, partant,</w:t>
      </w:r>
      <w:r>
        <w:rPr>
          <w:spacing w:val="-1"/>
        </w:rPr>
        <w:t> </w:t>
      </w:r>
      <w:r>
        <w:rPr/>
        <w:t>concerner</w:t>
      </w:r>
      <w:r>
        <w:rPr>
          <w:spacing w:val="-2"/>
        </w:rPr>
        <w:t> </w:t>
      </w:r>
      <w:r>
        <w:rPr/>
        <w:t>des</w:t>
      </w:r>
      <w:r>
        <w:rPr>
          <w:spacing w:val="-1"/>
        </w:rPr>
        <w:t> </w:t>
      </w:r>
      <w:r>
        <w:rPr/>
        <w:t>secteurs</w:t>
      </w:r>
      <w:r>
        <w:rPr>
          <w:spacing w:val="-1"/>
        </w:rPr>
        <w:t> </w:t>
      </w:r>
      <w:r>
        <w:rPr/>
        <w:t>de marché</w:t>
      </w:r>
      <w:r>
        <w:rPr>
          <w:spacing w:val="-2"/>
        </w:rPr>
        <w:t> </w:t>
      </w:r>
      <w:r>
        <w:rPr/>
        <w:t>différents</w:t>
      </w:r>
      <w:r>
        <w:rPr>
          <w:spacing w:val="-1"/>
        </w:rPr>
        <w:t> </w:t>
      </w:r>
      <w:r>
        <w:rPr/>
        <w:t>&amp;bra;</w:t>
      </w:r>
      <w:r>
        <w:rPr>
          <w:spacing w:val="-1"/>
        </w:rPr>
        <w:t> </w:t>
      </w:r>
      <w:r>
        <w:rPr/>
        <w:t>15/06/2018,</w:t>
      </w:r>
      <w:r>
        <w:rPr>
          <w:spacing w:val="-1"/>
        </w:rPr>
        <w:t> </w:t>
      </w:r>
      <w:r>
        <w:rPr/>
        <w:t>R 2595/2015-G, PELLICO (fig.), § 32; 06/10/22, R 2191/2021-4, Pax, § 68).</w:t>
      </w:r>
    </w:p>
    <w:p>
      <w:pPr>
        <w:pStyle w:val="ListParagraph"/>
        <w:numPr>
          <w:ilvl w:val="0"/>
          <w:numId w:val="1"/>
        </w:numPr>
        <w:tabs>
          <w:tab w:pos="731" w:val="left" w:leader="none"/>
        </w:tabs>
        <w:spacing w:line="240" w:lineRule="auto" w:before="241" w:after="0"/>
        <w:ind w:left="731" w:right="163" w:hanging="567"/>
        <w:jc w:val="both"/>
        <w:rPr>
          <w:sz w:val="24"/>
        </w:rPr>
      </w:pPr>
      <w:r>
        <w:rPr>
          <w:sz w:val="24"/>
        </w:rPr>
        <w:t>Les</w:t>
      </w:r>
      <w:r>
        <w:rPr>
          <w:spacing w:val="-1"/>
          <w:sz w:val="24"/>
        </w:rPr>
        <w:t> </w:t>
      </w:r>
      <w:r>
        <w:rPr>
          <w:sz w:val="24"/>
        </w:rPr>
        <w:t>réalités</w:t>
      </w:r>
      <w:r>
        <w:rPr>
          <w:spacing w:val="-2"/>
          <w:sz w:val="24"/>
        </w:rPr>
        <w:t> </w:t>
      </w:r>
      <w:r>
        <w:rPr>
          <w:sz w:val="24"/>
        </w:rPr>
        <w:t>du</w:t>
      </w:r>
      <w:r>
        <w:rPr>
          <w:spacing w:val="-1"/>
          <w:sz w:val="24"/>
        </w:rPr>
        <w:t> </w:t>
      </w:r>
      <w:r>
        <w:rPr>
          <w:sz w:val="24"/>
        </w:rPr>
        <w:t>marché</w:t>
      </w:r>
      <w:r>
        <w:rPr>
          <w:spacing w:val="-2"/>
          <w:sz w:val="24"/>
        </w:rPr>
        <w:t> </w:t>
      </w:r>
      <w:r>
        <w:rPr>
          <w:sz w:val="24"/>
        </w:rPr>
        <w:t>dans</w:t>
      </w:r>
      <w:r>
        <w:rPr>
          <w:spacing w:val="-1"/>
          <w:sz w:val="24"/>
        </w:rPr>
        <w:t> </w:t>
      </w:r>
      <w:r>
        <w:rPr>
          <w:sz w:val="24"/>
        </w:rPr>
        <w:t>un</w:t>
      </w:r>
      <w:r>
        <w:rPr>
          <w:spacing w:val="-1"/>
          <w:sz w:val="24"/>
        </w:rPr>
        <w:t> </w:t>
      </w:r>
      <w:r>
        <w:rPr>
          <w:sz w:val="24"/>
        </w:rPr>
        <w:t>secteur</w:t>
      </w:r>
      <w:r>
        <w:rPr>
          <w:spacing w:val="-3"/>
          <w:sz w:val="24"/>
        </w:rPr>
        <w:t> </w:t>
      </w:r>
      <w:r>
        <w:rPr>
          <w:sz w:val="24"/>
        </w:rPr>
        <w:t>donné</w:t>
      </w:r>
      <w:r>
        <w:rPr>
          <w:spacing w:val="-2"/>
          <w:sz w:val="24"/>
        </w:rPr>
        <w:t> </w:t>
      </w:r>
      <w:r>
        <w:rPr>
          <w:sz w:val="24"/>
        </w:rPr>
        <w:t>devraient</w:t>
      </w:r>
      <w:r>
        <w:rPr>
          <w:spacing w:val="-1"/>
          <w:sz w:val="24"/>
        </w:rPr>
        <w:t> </w:t>
      </w:r>
      <w:r>
        <w:rPr>
          <w:sz w:val="24"/>
        </w:rPr>
        <w:t>également</w:t>
      </w:r>
      <w:r>
        <w:rPr>
          <w:spacing w:val="-1"/>
          <w:sz w:val="24"/>
        </w:rPr>
        <w:t> </w:t>
      </w:r>
      <w:r>
        <w:rPr>
          <w:sz w:val="24"/>
        </w:rPr>
        <w:t>être</w:t>
      </w:r>
      <w:r>
        <w:rPr>
          <w:spacing w:val="-2"/>
          <w:sz w:val="24"/>
        </w:rPr>
        <w:t> </w:t>
      </w:r>
      <w:r>
        <w:rPr>
          <w:sz w:val="24"/>
        </w:rPr>
        <w:t>prises</w:t>
      </w:r>
      <w:r>
        <w:rPr>
          <w:spacing w:val="-1"/>
          <w:sz w:val="24"/>
        </w:rPr>
        <w:t> </w:t>
      </w:r>
      <w:r>
        <w:rPr>
          <w:sz w:val="24"/>
        </w:rPr>
        <w:t>en</w:t>
      </w:r>
      <w:r>
        <w:rPr>
          <w:spacing w:val="-1"/>
          <w:sz w:val="24"/>
        </w:rPr>
        <w:t> </w:t>
      </w:r>
      <w:r>
        <w:rPr>
          <w:sz w:val="24"/>
        </w:rPr>
        <w:t>compte pour</w:t>
      </w:r>
      <w:r>
        <w:rPr>
          <w:spacing w:val="-4"/>
          <w:sz w:val="24"/>
        </w:rPr>
        <w:t> </w:t>
      </w:r>
      <w:r>
        <w:rPr>
          <w:sz w:val="24"/>
        </w:rPr>
        <w:t>déterminer</w:t>
      </w:r>
      <w:r>
        <w:rPr>
          <w:spacing w:val="-3"/>
          <w:sz w:val="24"/>
        </w:rPr>
        <w:t> </w:t>
      </w:r>
      <w:r>
        <w:rPr>
          <w:sz w:val="24"/>
        </w:rPr>
        <w:t>s’il</w:t>
      </w:r>
      <w:r>
        <w:rPr>
          <w:spacing w:val="-1"/>
          <w:sz w:val="24"/>
        </w:rPr>
        <w:t> </w:t>
      </w:r>
      <w:r>
        <w:rPr>
          <w:sz w:val="24"/>
        </w:rPr>
        <w:t>existe</w:t>
      </w:r>
      <w:r>
        <w:rPr>
          <w:spacing w:val="-4"/>
          <w:sz w:val="24"/>
        </w:rPr>
        <w:t> </w:t>
      </w:r>
      <w:r>
        <w:rPr>
          <w:sz w:val="24"/>
        </w:rPr>
        <w:t>des</w:t>
      </w:r>
      <w:r>
        <w:rPr>
          <w:spacing w:val="-4"/>
          <w:sz w:val="24"/>
        </w:rPr>
        <w:t> </w:t>
      </w:r>
      <w:r>
        <w:rPr>
          <w:sz w:val="24"/>
        </w:rPr>
        <w:t>sous-catégories</w:t>
      </w:r>
      <w:r>
        <w:rPr>
          <w:spacing w:val="-3"/>
          <w:sz w:val="24"/>
        </w:rPr>
        <w:t> </w:t>
      </w:r>
      <w:r>
        <w:rPr>
          <w:sz w:val="24"/>
        </w:rPr>
        <w:t>indépendantes</w:t>
      </w:r>
      <w:r>
        <w:rPr>
          <w:spacing w:val="-2"/>
          <w:sz w:val="24"/>
        </w:rPr>
        <w:t> </w:t>
      </w:r>
      <w:r>
        <w:rPr>
          <w:sz w:val="24"/>
        </w:rPr>
        <w:t>et</w:t>
      </w:r>
      <w:r>
        <w:rPr>
          <w:spacing w:val="-1"/>
          <w:sz w:val="24"/>
        </w:rPr>
        <w:t> </w:t>
      </w:r>
      <w:r>
        <w:rPr>
          <w:sz w:val="24"/>
        </w:rPr>
        <w:t>cohérentes</w:t>
      </w:r>
      <w:r>
        <w:rPr>
          <w:spacing w:val="-2"/>
          <w:sz w:val="24"/>
        </w:rPr>
        <w:t> </w:t>
      </w:r>
      <w:r>
        <w:rPr>
          <w:sz w:val="24"/>
        </w:rPr>
        <w:t>au</w:t>
      </w:r>
      <w:r>
        <w:rPr>
          <w:spacing w:val="-3"/>
          <w:sz w:val="24"/>
        </w:rPr>
        <w:t> </w:t>
      </w:r>
      <w:r>
        <w:rPr>
          <w:sz w:val="24"/>
        </w:rPr>
        <w:t>sein</w:t>
      </w:r>
      <w:r>
        <w:rPr>
          <w:spacing w:val="-3"/>
          <w:sz w:val="24"/>
        </w:rPr>
        <w:t> </w:t>
      </w:r>
      <w:r>
        <w:rPr>
          <w:sz w:val="24"/>
        </w:rPr>
        <w:t>de</w:t>
      </w:r>
      <w:r>
        <w:rPr>
          <w:spacing w:val="-4"/>
          <w:sz w:val="24"/>
        </w:rPr>
        <w:t> </w:t>
      </w:r>
      <w:r>
        <w:rPr>
          <w:sz w:val="24"/>
        </w:rPr>
        <w:t>la catégorie générale de l’enregistrement. Dans ce cadre, il convient de tenir compte de l’existence de secteurs spécialisés, de créateurs spécialisés, de magasins spécialisés et de pratiques commerciales, ainsi que du comportement du consommateur pertinent. Il est important d’apprécier les éléments de preuve dans le contexte du secteur économique concerné &amp;bra; 15/06/2018, R 2595/2015-G, PELLICO (fig.), § 32, 36-37 </w:t>
      </w:r>
      <w:r>
        <w:rPr>
          <w:spacing w:val="-2"/>
          <w:sz w:val="24"/>
        </w:rPr>
        <w:t>&amp;ket;.</w:t>
      </w:r>
    </w:p>
    <w:p>
      <w:pPr>
        <w:pStyle w:val="ListParagraph"/>
        <w:numPr>
          <w:ilvl w:val="0"/>
          <w:numId w:val="1"/>
        </w:numPr>
        <w:tabs>
          <w:tab w:pos="731" w:val="left" w:leader="none"/>
        </w:tabs>
        <w:spacing w:line="240" w:lineRule="auto" w:before="240" w:after="0"/>
        <w:ind w:left="731" w:right="160" w:hanging="567"/>
        <w:jc w:val="both"/>
        <w:rPr>
          <w:sz w:val="24"/>
        </w:rPr>
      </w:pPr>
      <w:r>
        <w:rPr>
          <w:sz w:val="24"/>
        </w:rPr>
        <w:t>Comme déjà établi, la manière dont les chaussures sont couramment proposées à la vente sur le marché, y</w:t>
      </w:r>
      <w:r>
        <w:rPr>
          <w:spacing w:val="-3"/>
          <w:sz w:val="24"/>
        </w:rPr>
        <w:t> </w:t>
      </w:r>
      <w:r>
        <w:rPr>
          <w:sz w:val="24"/>
        </w:rPr>
        <w:t>compris par la titulaire de la marque de l’Union européenne elle- même,</w:t>
      </w:r>
      <w:r>
        <w:rPr>
          <w:spacing w:val="-3"/>
          <w:sz w:val="24"/>
        </w:rPr>
        <w:t> </w:t>
      </w:r>
      <w:r>
        <w:rPr>
          <w:sz w:val="24"/>
        </w:rPr>
        <w:t>dans</w:t>
      </w:r>
      <w:r>
        <w:rPr>
          <w:spacing w:val="-1"/>
          <w:sz w:val="24"/>
        </w:rPr>
        <w:t> </w:t>
      </w:r>
      <w:r>
        <w:rPr>
          <w:sz w:val="24"/>
        </w:rPr>
        <w:t>des</w:t>
      </w:r>
      <w:r>
        <w:rPr>
          <w:spacing w:val="-3"/>
          <w:sz w:val="24"/>
        </w:rPr>
        <w:t> </w:t>
      </w:r>
      <w:r>
        <w:rPr>
          <w:sz w:val="24"/>
        </w:rPr>
        <w:t>sections</w:t>
      </w:r>
      <w:r>
        <w:rPr>
          <w:spacing w:val="-1"/>
          <w:sz w:val="24"/>
        </w:rPr>
        <w:t> </w:t>
      </w:r>
      <w:r>
        <w:rPr>
          <w:sz w:val="24"/>
        </w:rPr>
        <w:t>distinctes</w:t>
      </w:r>
      <w:r>
        <w:rPr>
          <w:spacing w:val="-3"/>
          <w:sz w:val="24"/>
        </w:rPr>
        <w:t> </w:t>
      </w:r>
      <w:r>
        <w:rPr>
          <w:sz w:val="24"/>
        </w:rPr>
        <w:t>destinées</w:t>
      </w:r>
      <w:r>
        <w:rPr>
          <w:spacing w:val="-1"/>
          <w:sz w:val="24"/>
        </w:rPr>
        <w:t> </w:t>
      </w:r>
      <w:r>
        <w:rPr>
          <w:sz w:val="24"/>
        </w:rPr>
        <w:t>aux</w:t>
      </w:r>
      <w:r>
        <w:rPr>
          <w:spacing w:val="-1"/>
          <w:sz w:val="24"/>
        </w:rPr>
        <w:t> </w:t>
      </w:r>
      <w:r>
        <w:rPr>
          <w:sz w:val="24"/>
        </w:rPr>
        <w:t>femmes</w:t>
      </w:r>
      <w:r>
        <w:rPr>
          <w:spacing w:val="-3"/>
          <w:sz w:val="24"/>
        </w:rPr>
        <w:t> </w:t>
      </w:r>
      <w:r>
        <w:rPr>
          <w:sz w:val="24"/>
        </w:rPr>
        <w:t>et</w:t>
      </w:r>
      <w:r>
        <w:rPr>
          <w:spacing w:val="-1"/>
          <w:sz w:val="24"/>
        </w:rPr>
        <w:t> </w:t>
      </w:r>
      <w:r>
        <w:rPr>
          <w:sz w:val="24"/>
        </w:rPr>
        <w:t>aux</w:t>
      </w:r>
      <w:r>
        <w:rPr>
          <w:spacing w:val="-1"/>
          <w:sz w:val="24"/>
        </w:rPr>
        <w:t> </w:t>
      </w:r>
      <w:r>
        <w:rPr>
          <w:sz w:val="24"/>
        </w:rPr>
        <w:t>hommes,</w:t>
      </w:r>
      <w:r>
        <w:rPr>
          <w:spacing w:val="-1"/>
          <w:sz w:val="24"/>
        </w:rPr>
        <w:t> </w:t>
      </w:r>
      <w:r>
        <w:rPr>
          <w:sz w:val="24"/>
        </w:rPr>
        <w:t>montre</w:t>
      </w:r>
      <w:r>
        <w:rPr>
          <w:spacing w:val="-5"/>
          <w:sz w:val="24"/>
        </w:rPr>
        <w:t> </w:t>
      </w:r>
      <w:r>
        <w:rPr>
          <w:sz w:val="24"/>
        </w:rPr>
        <w:t>que</w:t>
      </w:r>
      <w:r>
        <w:rPr>
          <w:spacing w:val="-2"/>
          <w:sz w:val="24"/>
        </w:rPr>
        <w:t> </w:t>
      </w:r>
      <w:r>
        <w:rPr>
          <w:sz w:val="24"/>
        </w:rPr>
        <w:t>le comportement</w:t>
      </w:r>
      <w:r>
        <w:rPr>
          <w:spacing w:val="80"/>
          <w:w w:val="150"/>
          <w:sz w:val="24"/>
        </w:rPr>
        <w:t> </w:t>
      </w:r>
      <w:r>
        <w:rPr>
          <w:sz w:val="24"/>
        </w:rPr>
        <w:t>du</w:t>
      </w:r>
      <w:r>
        <w:rPr>
          <w:spacing w:val="80"/>
          <w:w w:val="150"/>
          <w:sz w:val="24"/>
        </w:rPr>
        <w:t> </w:t>
      </w:r>
      <w:r>
        <w:rPr>
          <w:sz w:val="24"/>
        </w:rPr>
        <w:t>consommateur</w:t>
      </w:r>
      <w:r>
        <w:rPr>
          <w:spacing w:val="80"/>
          <w:w w:val="150"/>
          <w:sz w:val="24"/>
        </w:rPr>
        <w:t> </w:t>
      </w:r>
      <w:r>
        <w:rPr>
          <w:sz w:val="24"/>
        </w:rPr>
        <w:t>pertinent</w:t>
      </w:r>
      <w:r>
        <w:rPr>
          <w:spacing w:val="80"/>
          <w:w w:val="150"/>
          <w:sz w:val="24"/>
        </w:rPr>
        <w:t> </w:t>
      </w:r>
      <w:r>
        <w:rPr>
          <w:sz w:val="24"/>
        </w:rPr>
        <w:t>lorsqu’il</w:t>
      </w:r>
      <w:r>
        <w:rPr>
          <w:spacing w:val="80"/>
          <w:w w:val="150"/>
          <w:sz w:val="24"/>
        </w:rPr>
        <w:t> </w:t>
      </w:r>
      <w:r>
        <w:rPr>
          <w:sz w:val="24"/>
        </w:rPr>
        <w:t>est</w:t>
      </w:r>
      <w:r>
        <w:rPr>
          <w:spacing w:val="80"/>
          <w:w w:val="150"/>
          <w:sz w:val="24"/>
        </w:rPr>
        <w:t> </w:t>
      </w:r>
      <w:r>
        <w:rPr>
          <w:sz w:val="24"/>
        </w:rPr>
        <w:t>confronté</w:t>
      </w:r>
      <w:r>
        <w:rPr>
          <w:spacing w:val="80"/>
          <w:w w:val="150"/>
          <w:sz w:val="24"/>
        </w:rPr>
        <w:t> </w:t>
      </w:r>
      <w:r>
        <w:rPr>
          <w:sz w:val="24"/>
        </w:rPr>
        <w:t>à</w:t>
      </w:r>
      <w:r>
        <w:rPr>
          <w:spacing w:val="80"/>
          <w:w w:val="150"/>
          <w:sz w:val="24"/>
        </w:rPr>
        <w:t> </w:t>
      </w:r>
      <w:r>
        <w:rPr>
          <w:sz w:val="24"/>
        </w:rPr>
        <w:t>la</w:t>
      </w:r>
      <w:r>
        <w:rPr>
          <w:spacing w:val="80"/>
          <w:w w:val="150"/>
          <w:sz w:val="24"/>
        </w:rPr>
        <w:t> </w:t>
      </w:r>
      <w:r>
        <w:rPr>
          <w:sz w:val="24"/>
        </w:rPr>
        <w:t>marque</w:t>
      </w:r>
    </w:p>
    <w:p>
      <w:pPr>
        <w:pStyle w:val="BodyText"/>
        <w:spacing w:before="1"/>
        <w:ind w:left="731" w:right="165"/>
        <w:jc w:val="both"/>
      </w:pPr>
      <w:r>
        <w:rPr/>
        <w:t>«WONDERGIRL», et, plus important encore, les éléments de preuve de l’usage produits au cours des procédures d’annulation et de recours, démontrent que la division d’annulation était habilitée à décider que la marque contestée devait rester enregistrée uniquement pour les </w:t>
      </w:r>
      <w:r>
        <w:rPr>
          <w:i/>
        </w:rPr>
        <w:t>chaussures pour femmes</w:t>
      </w:r>
      <w:r>
        <w:rPr/>
        <w:t>.</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La chambre</w:t>
      </w:r>
      <w:r>
        <w:rPr>
          <w:spacing w:val="-1"/>
          <w:sz w:val="24"/>
        </w:rPr>
        <w:t> </w:t>
      </w:r>
      <w:r>
        <w:rPr>
          <w:sz w:val="24"/>
        </w:rPr>
        <w:t>de</w:t>
      </w:r>
      <w:r>
        <w:rPr>
          <w:spacing w:val="-1"/>
          <w:sz w:val="24"/>
        </w:rPr>
        <w:t> </w:t>
      </w:r>
      <w:r>
        <w:rPr>
          <w:sz w:val="24"/>
        </w:rPr>
        <w:t>recours</w:t>
      </w:r>
      <w:r>
        <w:rPr>
          <w:spacing w:val="-1"/>
          <w:sz w:val="24"/>
        </w:rPr>
        <w:t> </w:t>
      </w:r>
      <w:r>
        <w:rPr>
          <w:sz w:val="24"/>
        </w:rPr>
        <w:t>n’est donc</w:t>
      </w:r>
      <w:r>
        <w:rPr>
          <w:spacing w:val="-1"/>
          <w:sz w:val="24"/>
        </w:rPr>
        <w:t> </w:t>
      </w:r>
      <w:r>
        <w:rPr>
          <w:sz w:val="24"/>
        </w:rPr>
        <w:t>pas d’accord avec</w:t>
      </w:r>
      <w:r>
        <w:rPr>
          <w:spacing w:val="-1"/>
          <w:sz w:val="24"/>
        </w:rPr>
        <w:t> </w:t>
      </w:r>
      <w:r>
        <w:rPr>
          <w:sz w:val="24"/>
        </w:rPr>
        <w:t>les</w:t>
      </w:r>
      <w:r>
        <w:rPr>
          <w:spacing w:val="-1"/>
          <w:sz w:val="24"/>
        </w:rPr>
        <w:t> </w:t>
      </w:r>
      <w:r>
        <w:rPr>
          <w:sz w:val="24"/>
        </w:rPr>
        <w:t>affirmations de</w:t>
      </w:r>
      <w:r>
        <w:rPr>
          <w:spacing w:val="-1"/>
          <w:sz w:val="24"/>
        </w:rPr>
        <w:t> </w:t>
      </w:r>
      <w:r>
        <w:rPr>
          <w:sz w:val="24"/>
        </w:rPr>
        <w:t>la</w:t>
      </w:r>
      <w:r>
        <w:rPr>
          <w:spacing w:val="-1"/>
          <w:sz w:val="24"/>
        </w:rPr>
        <w:t> </w:t>
      </w:r>
      <w:r>
        <w:rPr>
          <w:sz w:val="24"/>
        </w:rPr>
        <w:t>titulaire</w:t>
      </w:r>
      <w:r>
        <w:rPr>
          <w:spacing w:val="-1"/>
          <w:sz w:val="24"/>
        </w:rPr>
        <w:t> </w:t>
      </w:r>
      <w:r>
        <w:rPr>
          <w:sz w:val="24"/>
        </w:rPr>
        <w:t>de</w:t>
      </w:r>
      <w:r>
        <w:rPr>
          <w:spacing w:val="-1"/>
          <w:sz w:val="24"/>
        </w:rPr>
        <w:t> </w:t>
      </w:r>
      <w:r>
        <w:rPr>
          <w:sz w:val="24"/>
        </w:rPr>
        <w:t>la MUE selon lesquelles la sous-catégorie « </w:t>
      </w:r>
      <w:r>
        <w:rPr>
          <w:i/>
          <w:sz w:val="24"/>
        </w:rPr>
        <w:t>chaussures pour femmes</w:t>
      </w:r>
      <w:r>
        <w:rPr>
          <w:sz w:val="24"/>
        </w:rPr>
        <w:t>» définie par la division d’annulation est arbitraire et ne suit pas les réalités du marché. La chambre de recours</w:t>
      </w:r>
      <w:r>
        <w:rPr>
          <w:spacing w:val="80"/>
          <w:sz w:val="24"/>
        </w:rPr>
        <w:t> </w:t>
      </w:r>
      <w:r>
        <w:rPr>
          <w:sz w:val="24"/>
        </w:rPr>
        <w:t>ne</w:t>
      </w:r>
      <w:r>
        <w:rPr>
          <w:spacing w:val="80"/>
          <w:sz w:val="24"/>
        </w:rPr>
        <w:t> </w:t>
      </w:r>
      <w:r>
        <w:rPr>
          <w:sz w:val="24"/>
        </w:rPr>
        <w:t>peut</w:t>
      </w:r>
      <w:r>
        <w:rPr>
          <w:spacing w:val="80"/>
          <w:sz w:val="24"/>
        </w:rPr>
        <w:t> </w:t>
      </w:r>
      <w:r>
        <w:rPr>
          <w:sz w:val="24"/>
        </w:rPr>
        <w:t>pas</w:t>
      </w:r>
      <w:r>
        <w:rPr>
          <w:spacing w:val="80"/>
          <w:sz w:val="24"/>
        </w:rPr>
        <w:t> </w:t>
      </w:r>
      <w:r>
        <w:rPr>
          <w:sz w:val="24"/>
        </w:rPr>
        <w:t>non</w:t>
      </w:r>
      <w:r>
        <w:rPr>
          <w:spacing w:val="80"/>
          <w:sz w:val="24"/>
        </w:rPr>
        <w:t> </w:t>
      </w:r>
      <w:r>
        <w:rPr>
          <w:sz w:val="24"/>
        </w:rPr>
        <w:t>plus</w:t>
      </w:r>
      <w:r>
        <w:rPr>
          <w:spacing w:val="80"/>
          <w:sz w:val="24"/>
        </w:rPr>
        <w:t> </w:t>
      </w:r>
      <w:r>
        <w:rPr>
          <w:sz w:val="24"/>
        </w:rPr>
        <w:t>accepter</w:t>
      </w:r>
      <w:r>
        <w:rPr>
          <w:spacing w:val="80"/>
          <w:sz w:val="24"/>
        </w:rPr>
        <w:t> </w:t>
      </w:r>
      <w:r>
        <w:rPr>
          <w:sz w:val="24"/>
        </w:rPr>
        <w:t>l’allégation</w:t>
      </w:r>
      <w:r>
        <w:rPr>
          <w:spacing w:val="80"/>
          <w:sz w:val="24"/>
        </w:rPr>
        <w:t> </w:t>
      </w:r>
      <w:r>
        <w:rPr>
          <w:sz w:val="24"/>
        </w:rPr>
        <w:t>non</w:t>
      </w:r>
      <w:r>
        <w:rPr>
          <w:spacing w:val="80"/>
          <w:sz w:val="24"/>
        </w:rPr>
        <w:t> </w:t>
      </w:r>
      <w:r>
        <w:rPr>
          <w:sz w:val="24"/>
        </w:rPr>
        <w:t>étayée</w:t>
      </w:r>
      <w:r>
        <w:rPr>
          <w:spacing w:val="80"/>
          <w:sz w:val="24"/>
        </w:rPr>
        <w:t> </w:t>
      </w:r>
      <w:r>
        <w:rPr>
          <w:sz w:val="24"/>
        </w:rPr>
        <w:t>selon</w:t>
      </w:r>
      <w:r>
        <w:rPr>
          <w:spacing w:val="80"/>
          <w:sz w:val="24"/>
        </w:rPr>
        <w:t> </w:t>
      </w:r>
      <w:r>
        <w:rPr>
          <w:sz w:val="24"/>
        </w:rPr>
        <w:t>laquelle</w:t>
      </w:r>
      <w:r>
        <w:rPr>
          <w:spacing w:val="80"/>
          <w:sz w:val="24"/>
        </w:rPr>
        <w:t> </w:t>
      </w:r>
      <w:r>
        <w:rPr>
          <w:sz w:val="24"/>
        </w:rPr>
        <w:t>la</w:t>
      </w:r>
    </w:p>
    <w:p>
      <w:pPr>
        <w:pStyle w:val="BodyText"/>
        <w:rPr>
          <w:sz w:val="18"/>
        </w:rPr>
      </w:pPr>
    </w:p>
    <w:p>
      <w:pPr>
        <w:pStyle w:val="BodyText"/>
        <w:rPr>
          <w:sz w:val="18"/>
        </w:rPr>
      </w:pPr>
    </w:p>
    <w:p>
      <w:pPr>
        <w:pStyle w:val="BodyText"/>
        <w:rPr>
          <w:sz w:val="18"/>
        </w:rPr>
      </w:pPr>
    </w:p>
    <w:p>
      <w:pPr>
        <w:pStyle w:val="BodyText"/>
        <w:spacing w:before="71"/>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BodyText"/>
        <w:spacing w:before="204"/>
        <w:ind w:left="731"/>
      </w:pPr>
      <w:r>
        <w:rPr/>
        <mc:AlternateContent>
          <mc:Choice Requires="wps">
            <w:drawing>
              <wp:anchor distT="0" distB="0" distL="0" distR="0" allowOverlap="1" layoutInCell="1" locked="0" behindDoc="0" simplePos="0" relativeHeight="15746560">
                <wp:simplePos x="0" y="0"/>
                <wp:positionH relativeFrom="page">
                  <wp:posOffset>270575</wp:posOffset>
                </wp:positionH>
                <wp:positionV relativeFrom="page">
                  <wp:posOffset>1114363</wp:posOffset>
                </wp:positionV>
                <wp:extent cx="146050" cy="921004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6560" type="#_x0000_t202" id="docshape3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r>
        <w:rPr/>
        <w:t>classification</w:t>
      </w:r>
      <w:r>
        <w:rPr>
          <w:spacing w:val="40"/>
        </w:rPr>
        <w:t> </w:t>
      </w:r>
      <w:r>
        <w:rPr/>
        <w:t>opérée</w:t>
      </w:r>
      <w:r>
        <w:rPr>
          <w:spacing w:val="40"/>
        </w:rPr>
        <w:t> </w:t>
      </w:r>
      <w:r>
        <w:rPr/>
        <w:t>dans</w:t>
      </w:r>
      <w:r>
        <w:rPr>
          <w:spacing w:val="40"/>
        </w:rPr>
        <w:t> </w:t>
      </w:r>
      <w:r>
        <w:rPr/>
        <w:t>la</w:t>
      </w:r>
      <w:r>
        <w:rPr>
          <w:spacing w:val="40"/>
        </w:rPr>
        <w:t> </w:t>
      </w:r>
      <w:r>
        <w:rPr/>
        <w:t>décision</w:t>
      </w:r>
      <w:r>
        <w:rPr>
          <w:spacing w:val="40"/>
        </w:rPr>
        <w:t> </w:t>
      </w:r>
      <w:r>
        <w:rPr/>
        <w:t>attaquée</w:t>
      </w:r>
      <w:r>
        <w:rPr>
          <w:spacing w:val="40"/>
        </w:rPr>
        <w:t> </w:t>
      </w:r>
      <w:r>
        <w:rPr/>
        <w:t>est</w:t>
      </w:r>
      <w:r>
        <w:rPr>
          <w:spacing w:val="40"/>
        </w:rPr>
        <w:t> </w:t>
      </w:r>
      <w:r>
        <w:rPr/>
        <w:t>fondée</w:t>
      </w:r>
      <w:r>
        <w:rPr>
          <w:spacing w:val="40"/>
        </w:rPr>
        <w:t> </w:t>
      </w:r>
      <w:r>
        <w:rPr/>
        <w:t>sur</w:t>
      </w:r>
      <w:r>
        <w:rPr>
          <w:spacing w:val="40"/>
        </w:rPr>
        <w:t> </w:t>
      </w:r>
      <w:r>
        <w:rPr/>
        <w:t>des</w:t>
      </w:r>
      <w:r>
        <w:rPr>
          <w:spacing w:val="40"/>
        </w:rPr>
        <w:t> </w:t>
      </w:r>
      <w:r>
        <w:rPr/>
        <w:t>stéréotypes,</w:t>
      </w:r>
      <w:r>
        <w:rPr>
          <w:spacing w:val="40"/>
        </w:rPr>
        <w:t> </w:t>
      </w:r>
      <w:r>
        <w:rPr/>
        <w:t>des</w:t>
      </w:r>
      <w:r>
        <w:rPr>
          <w:spacing w:val="40"/>
        </w:rPr>
        <w:t> </w:t>
      </w:r>
      <w:r>
        <w:rPr/>
        <w:t>clichés et des préjugés qui portent atteinte à l’égalité entre les hommes et les femmes.</w:t>
      </w:r>
    </w:p>
    <w:p>
      <w:pPr>
        <w:pStyle w:val="BodyText"/>
        <w:spacing w:before="84"/>
      </w:pPr>
    </w:p>
    <w:p>
      <w:pPr>
        <w:spacing w:before="0"/>
        <w:ind w:left="731" w:right="0" w:firstLine="0"/>
        <w:jc w:val="left"/>
        <w:rPr>
          <w:i/>
          <w:sz w:val="24"/>
        </w:rPr>
      </w:pPr>
      <w:r>
        <w:rPr>
          <w:i/>
          <w:spacing w:val="-2"/>
          <w:sz w:val="24"/>
        </w:rPr>
        <w:t>Conclusion</w:t>
      </w:r>
    </w:p>
    <w:p>
      <w:pPr>
        <w:pStyle w:val="ListParagraph"/>
        <w:numPr>
          <w:ilvl w:val="0"/>
          <w:numId w:val="1"/>
        </w:numPr>
        <w:tabs>
          <w:tab w:pos="731" w:val="left" w:leader="none"/>
        </w:tabs>
        <w:spacing w:line="240" w:lineRule="auto" w:before="240" w:after="0"/>
        <w:ind w:left="731" w:right="159" w:hanging="567"/>
        <w:jc w:val="both"/>
        <w:rPr>
          <w:sz w:val="24"/>
        </w:rPr>
      </w:pPr>
      <w:r>
        <w:rPr>
          <w:sz w:val="24"/>
        </w:rPr>
        <w:t>À la lumière des considérations qui précèdent, c’est à bon droit que la titulaire de la marque de l’Union européenne a été déchue de ses droits sur la marque de l’Union européenne no 13 620 752 à compter du 2 mars 2023 pour tous les produits, à l’exception des </w:t>
      </w:r>
      <w:r>
        <w:rPr>
          <w:i/>
          <w:sz w:val="24"/>
        </w:rPr>
        <w:t>chaussures pour femmes, compris dans </w:t>
      </w:r>
      <w:r>
        <w:rPr>
          <w:sz w:val="24"/>
        </w:rPr>
        <w:t>la classe 25. Par conséquent, la marque contestée reste enregistrée uniquement pour des </w:t>
      </w:r>
      <w:r>
        <w:rPr>
          <w:i/>
          <w:sz w:val="24"/>
        </w:rPr>
        <w:t>chaussures pour femmes comprises </w:t>
      </w:r>
      <w:r>
        <w:rPr>
          <w:sz w:val="24"/>
        </w:rPr>
        <w:t>dans la classe 25.</w:t>
      </w:r>
    </w:p>
    <w:p>
      <w:pPr>
        <w:pStyle w:val="ListParagraph"/>
        <w:numPr>
          <w:ilvl w:val="0"/>
          <w:numId w:val="1"/>
        </w:numPr>
        <w:tabs>
          <w:tab w:pos="731" w:val="left" w:leader="none"/>
        </w:tabs>
        <w:spacing w:line="240" w:lineRule="auto" w:before="120" w:after="0"/>
        <w:ind w:left="731" w:right="162" w:hanging="567"/>
        <w:jc w:val="both"/>
        <w:rPr>
          <w:sz w:val="24"/>
        </w:rPr>
      </w:pPr>
      <w:r>
        <w:rPr>
          <w:sz w:val="24"/>
        </w:rPr>
        <w:t>En conséquence, la chambre de recours rejette le recours et confirme la décision </w:t>
      </w:r>
      <w:r>
        <w:rPr>
          <w:spacing w:val="-2"/>
          <w:sz w:val="24"/>
        </w:rPr>
        <w:t>attaquée.</w:t>
      </w:r>
    </w:p>
    <w:p>
      <w:pPr>
        <w:pStyle w:val="BodyText"/>
        <w:spacing w:before="85"/>
      </w:pPr>
    </w:p>
    <w:p>
      <w:pPr>
        <w:spacing w:before="0"/>
        <w:ind w:left="731" w:right="0" w:firstLine="0"/>
        <w:jc w:val="left"/>
        <w:rPr>
          <w:b/>
          <w:sz w:val="24"/>
        </w:rPr>
      </w:pPr>
      <w:r>
        <w:rPr>
          <w:b/>
          <w:spacing w:val="-2"/>
          <w:sz w:val="24"/>
        </w:rPr>
        <w:t>Frais</w:t>
      </w:r>
    </w:p>
    <w:p>
      <w:pPr>
        <w:pStyle w:val="ListParagraph"/>
        <w:numPr>
          <w:ilvl w:val="0"/>
          <w:numId w:val="1"/>
        </w:numPr>
        <w:tabs>
          <w:tab w:pos="731" w:val="left" w:leader="none"/>
        </w:tabs>
        <w:spacing w:line="240" w:lineRule="auto" w:before="240" w:after="0"/>
        <w:ind w:left="731" w:right="167" w:hanging="567"/>
        <w:jc w:val="both"/>
        <w:rPr>
          <w:sz w:val="24"/>
        </w:rPr>
      </w:pPr>
      <w:r>
        <w:rPr>
          <w:sz w:val="24"/>
        </w:rPr>
        <w:t>La titulaire de la marque de l’Union européenne étant la partie perdante au sens de l’article</w:t>
      </w:r>
      <w:r>
        <w:rPr>
          <w:spacing w:val="-3"/>
          <w:sz w:val="24"/>
        </w:rPr>
        <w:t> </w:t>
      </w:r>
      <w:r>
        <w:rPr>
          <w:sz w:val="24"/>
        </w:rPr>
        <w:t>109, paragraphe 1, du RMUE, elle doit supporter les frais exposés par la demanderesse en nullité aux fins de la procédure de recours.</w:t>
      </w:r>
    </w:p>
    <w:p>
      <w:pPr>
        <w:pStyle w:val="ListParagraph"/>
        <w:numPr>
          <w:ilvl w:val="0"/>
          <w:numId w:val="1"/>
        </w:numPr>
        <w:tabs>
          <w:tab w:pos="731" w:val="left" w:leader="none"/>
        </w:tabs>
        <w:spacing w:line="240" w:lineRule="auto" w:before="240" w:after="0"/>
        <w:ind w:left="731" w:right="165" w:hanging="567"/>
        <w:jc w:val="both"/>
        <w:rPr>
          <w:sz w:val="24"/>
        </w:rPr>
      </w:pPr>
      <w:r>
        <w:rPr>
          <w:sz w:val="24"/>
        </w:rPr>
        <w:t>En ce qui concerne la procédure de recours, ces frais se composent des frais de représentation</w:t>
      </w:r>
      <w:r>
        <w:rPr>
          <w:spacing w:val="80"/>
          <w:sz w:val="24"/>
        </w:rPr>
        <w:t> </w:t>
      </w:r>
      <w:r>
        <w:rPr>
          <w:sz w:val="24"/>
        </w:rPr>
        <w:t>professionnelle</w:t>
      </w:r>
      <w:r>
        <w:rPr>
          <w:spacing w:val="80"/>
          <w:sz w:val="24"/>
        </w:rPr>
        <w:t> </w:t>
      </w:r>
      <w:r>
        <w:rPr>
          <w:sz w:val="24"/>
        </w:rPr>
        <w:t>de</w:t>
      </w:r>
      <w:r>
        <w:rPr>
          <w:spacing w:val="80"/>
          <w:sz w:val="24"/>
        </w:rPr>
        <w:t> </w:t>
      </w:r>
      <w:r>
        <w:rPr>
          <w:sz w:val="24"/>
        </w:rPr>
        <w:t>la</w:t>
      </w:r>
      <w:r>
        <w:rPr>
          <w:spacing w:val="80"/>
          <w:sz w:val="24"/>
        </w:rPr>
        <w:t> </w:t>
      </w:r>
      <w:r>
        <w:rPr>
          <w:sz w:val="24"/>
        </w:rPr>
        <w:t>demanderesse</w:t>
      </w:r>
      <w:r>
        <w:rPr>
          <w:spacing w:val="80"/>
          <w:sz w:val="24"/>
        </w:rPr>
        <w:t> </w:t>
      </w:r>
      <w:r>
        <w:rPr>
          <w:sz w:val="24"/>
        </w:rPr>
        <w:t>en</w:t>
      </w:r>
      <w:r>
        <w:rPr>
          <w:spacing w:val="80"/>
          <w:sz w:val="24"/>
        </w:rPr>
        <w:t> </w:t>
      </w:r>
      <w:r>
        <w:rPr>
          <w:sz w:val="24"/>
        </w:rPr>
        <w:t>nullité,</w:t>
      </w:r>
      <w:r>
        <w:rPr>
          <w:spacing w:val="80"/>
          <w:sz w:val="24"/>
        </w:rPr>
        <w:t> </w:t>
      </w:r>
      <w:r>
        <w:rPr>
          <w:sz w:val="24"/>
        </w:rPr>
        <w:t>d’un</w:t>
      </w:r>
      <w:r>
        <w:rPr>
          <w:spacing w:val="80"/>
          <w:sz w:val="24"/>
        </w:rPr>
        <w:t> </w:t>
      </w:r>
      <w:r>
        <w:rPr>
          <w:sz w:val="24"/>
        </w:rPr>
        <w:t>montant</w:t>
      </w:r>
      <w:r>
        <w:rPr>
          <w:spacing w:val="80"/>
          <w:sz w:val="24"/>
        </w:rPr>
        <w:t> </w:t>
      </w:r>
      <w:r>
        <w:rPr>
          <w:sz w:val="24"/>
        </w:rPr>
        <w:t>de 550 EUR.</w:t>
      </w:r>
    </w:p>
    <w:p>
      <w:pPr>
        <w:pStyle w:val="ListParagraph"/>
        <w:numPr>
          <w:ilvl w:val="0"/>
          <w:numId w:val="1"/>
        </w:numPr>
        <w:tabs>
          <w:tab w:pos="731" w:val="left" w:leader="none"/>
        </w:tabs>
        <w:spacing w:line="240" w:lineRule="auto" w:before="240" w:after="0"/>
        <w:ind w:left="731" w:right="170" w:hanging="567"/>
        <w:jc w:val="both"/>
        <w:rPr>
          <w:sz w:val="24"/>
        </w:rPr>
      </w:pPr>
      <w:r>
        <w:rPr>
          <w:sz w:val="24"/>
        </w:rPr>
        <w:t>La répartition des frais de la décision attaquée, dans laquelle chaque partie a été condamnée à supporter ses propres dépens, reste inchangée.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04"/>
        <w:rPr>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p>
      <w:pPr>
        <w:spacing w:after="0"/>
        <w:jc w:val="center"/>
        <w:rPr>
          <w:sz w:val="18"/>
        </w:rPr>
        <w:sectPr>
          <w:pgSz w:w="11910" w:h="16840"/>
          <w:pgMar w:header="969" w:footer="0" w:top="1220" w:bottom="280" w:left="1275" w:right="1275"/>
        </w:sectPr>
      </w:pPr>
    </w:p>
    <w:p>
      <w:pPr>
        <w:pStyle w:val="BodyText"/>
      </w:pPr>
      <w:r>
        <w:rPr/>
        <mc:AlternateContent>
          <mc:Choice Requires="wps">
            <w:drawing>
              <wp:anchor distT="0" distB="0" distL="0" distR="0" allowOverlap="1" layoutInCell="1" locked="0" behindDoc="0" simplePos="0" relativeHeight="15747072">
                <wp:simplePos x="0" y="0"/>
                <wp:positionH relativeFrom="page">
                  <wp:posOffset>270575</wp:posOffset>
                </wp:positionH>
                <wp:positionV relativeFrom="page">
                  <wp:posOffset>1114363</wp:posOffset>
                </wp:positionV>
                <wp:extent cx="146050" cy="921004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7072" type="#_x0000_t202" id="docshape3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[24-04-</w:t>
                      </w:r>
                      <w:r>
                        <w:rPr>
                          <w:rFonts w:ascii="Arial MT" w:hAnsi="Arial MT"/>
                          <w:color w:val="3F3F3F"/>
                          <w:spacing w:val="-2"/>
                          <w:sz w:val="17"/>
                        </w:rPr>
                        <w:t>2025]</w:t>
                      </w:r>
                    </w:p>
                  </w:txbxContent>
                </v:textbox>
                <w10:wrap type="none"/>
              </v:shape>
            </w:pict>
          </mc:Fallback>
        </mc:AlternateContent>
      </w:r>
    </w:p>
    <w:p>
      <w:pPr>
        <w:pStyle w:val="BodyText"/>
        <w:spacing w:before="12"/>
      </w:pPr>
    </w:p>
    <w:p>
      <w:pPr>
        <w:spacing w:before="0"/>
        <w:ind w:left="731" w:right="0" w:firstLine="0"/>
        <w:jc w:val="left"/>
        <w:rPr>
          <w:b/>
          <w:sz w:val="24"/>
        </w:rPr>
      </w:pPr>
      <w:r>
        <w:rPr>
          <w:b/>
          <w:spacing w:val="-2"/>
          <w:sz w:val="24"/>
        </w:rPr>
        <w:t>Dispositif</w:t>
      </w:r>
    </w:p>
    <w:p>
      <w:pPr>
        <w:pStyle w:val="BodyText"/>
        <w:spacing w:before="19"/>
        <w:rPr>
          <w:b/>
        </w:rPr>
      </w:pPr>
    </w:p>
    <w:p>
      <w:pPr>
        <w:pStyle w:val="BodyText"/>
        <w:ind w:left="731"/>
      </w:pPr>
      <w:r>
        <w:rPr/>
        <w:t>Par</w:t>
      </w:r>
      <w:r>
        <w:rPr>
          <w:spacing w:val="-2"/>
        </w:rPr>
        <w:t> </w:t>
      </w:r>
      <w:r>
        <w:rPr/>
        <w:t>ces</w:t>
      </w:r>
      <w:r>
        <w:rPr>
          <w:spacing w:val="-2"/>
        </w:rPr>
        <w:t> motifs,</w:t>
      </w:r>
    </w:p>
    <w:p>
      <w:pPr>
        <w:pStyle w:val="BodyText"/>
        <w:spacing w:before="204"/>
      </w:pPr>
    </w:p>
    <w:p>
      <w:pPr>
        <w:pStyle w:val="BodyText"/>
        <w:ind w:left="2776" w:right="2776"/>
        <w:jc w:val="center"/>
      </w:pPr>
      <w:r>
        <w:rPr/>
        <w:t>LA</w:t>
      </w:r>
      <w:r>
        <w:rPr>
          <w:spacing w:val="-3"/>
        </w:rPr>
        <w:t> </w:t>
      </w:r>
      <w:r>
        <w:rPr>
          <w:spacing w:val="-2"/>
        </w:rPr>
        <w:t>CHAMBRE</w:t>
      </w:r>
    </w:p>
    <w:p>
      <w:pPr>
        <w:pStyle w:val="BodyText"/>
        <w:spacing w:before="204"/>
      </w:pPr>
    </w:p>
    <w:p>
      <w:pPr>
        <w:pStyle w:val="BodyText"/>
        <w:spacing w:before="1"/>
        <w:ind w:left="731"/>
      </w:pPr>
      <w:r>
        <w:rPr/>
        <w:t>déclare</w:t>
      </w:r>
      <w:r>
        <w:rPr>
          <w:spacing w:val="-5"/>
        </w:rPr>
        <w:t> </w:t>
      </w:r>
      <w:r>
        <w:rPr/>
        <w:t>et</w:t>
      </w:r>
      <w:r>
        <w:rPr>
          <w:spacing w:val="-1"/>
        </w:rPr>
        <w:t> </w:t>
      </w:r>
      <w:r>
        <w:rPr>
          <w:spacing w:val="-2"/>
        </w:rPr>
        <w:t>arrête:</w:t>
      </w:r>
    </w:p>
    <w:p>
      <w:pPr>
        <w:pStyle w:val="ListParagraph"/>
        <w:numPr>
          <w:ilvl w:val="0"/>
          <w:numId w:val="3"/>
        </w:numPr>
        <w:tabs>
          <w:tab w:pos="1158" w:val="left" w:leader="none"/>
        </w:tabs>
        <w:spacing w:line="240" w:lineRule="auto" w:before="240" w:after="0"/>
        <w:ind w:left="1158" w:right="0" w:hanging="427"/>
        <w:jc w:val="left"/>
        <w:rPr>
          <w:b/>
          <w:sz w:val="24"/>
        </w:rPr>
      </w:pPr>
      <w:r>
        <w:rPr>
          <w:b/>
          <w:sz w:val="24"/>
        </w:rPr>
        <w:t>Rejette</w:t>
      </w:r>
      <w:r>
        <w:rPr>
          <w:b/>
          <w:spacing w:val="-3"/>
          <w:sz w:val="24"/>
        </w:rPr>
        <w:t> </w:t>
      </w:r>
      <w:r>
        <w:rPr>
          <w:b/>
          <w:sz w:val="24"/>
        </w:rPr>
        <w:t>le</w:t>
      </w:r>
      <w:r>
        <w:rPr>
          <w:b/>
          <w:spacing w:val="-1"/>
          <w:sz w:val="24"/>
        </w:rPr>
        <w:t> </w:t>
      </w:r>
      <w:r>
        <w:rPr>
          <w:b/>
          <w:spacing w:val="-2"/>
          <w:sz w:val="24"/>
        </w:rPr>
        <w:t>recours;</w:t>
      </w:r>
    </w:p>
    <w:p>
      <w:pPr>
        <w:pStyle w:val="ListParagraph"/>
        <w:numPr>
          <w:ilvl w:val="0"/>
          <w:numId w:val="3"/>
        </w:numPr>
        <w:tabs>
          <w:tab w:pos="1156" w:val="left" w:leader="none"/>
        </w:tabs>
        <w:spacing w:line="240" w:lineRule="auto" w:before="240" w:after="0"/>
        <w:ind w:left="1156" w:right="171" w:hanging="425"/>
        <w:jc w:val="left"/>
        <w:rPr>
          <w:b/>
          <w:sz w:val="24"/>
        </w:rPr>
      </w:pPr>
      <w:r>
        <w:rPr>
          <w:b/>
          <w:sz w:val="24"/>
        </w:rPr>
        <w:t>Condamne</w:t>
      </w:r>
      <w:r>
        <w:rPr>
          <w:b/>
          <w:spacing w:val="79"/>
          <w:sz w:val="24"/>
        </w:rPr>
        <w:t> </w:t>
      </w:r>
      <w:r>
        <w:rPr>
          <w:b/>
          <w:sz w:val="24"/>
        </w:rPr>
        <w:t>la</w:t>
      </w:r>
      <w:r>
        <w:rPr>
          <w:b/>
          <w:spacing w:val="80"/>
          <w:sz w:val="24"/>
        </w:rPr>
        <w:t> </w:t>
      </w:r>
      <w:r>
        <w:rPr>
          <w:b/>
          <w:sz w:val="24"/>
        </w:rPr>
        <w:t>titulaire</w:t>
      </w:r>
      <w:r>
        <w:rPr>
          <w:b/>
          <w:spacing w:val="80"/>
          <w:sz w:val="24"/>
        </w:rPr>
        <w:t> </w:t>
      </w:r>
      <w:r>
        <w:rPr>
          <w:b/>
          <w:sz w:val="24"/>
        </w:rPr>
        <w:t>de</w:t>
      </w:r>
      <w:r>
        <w:rPr>
          <w:b/>
          <w:spacing w:val="79"/>
          <w:sz w:val="24"/>
        </w:rPr>
        <w:t> </w:t>
      </w:r>
      <w:r>
        <w:rPr>
          <w:b/>
          <w:sz w:val="24"/>
        </w:rPr>
        <w:t>la</w:t>
      </w:r>
      <w:r>
        <w:rPr>
          <w:b/>
          <w:spacing w:val="80"/>
          <w:sz w:val="24"/>
        </w:rPr>
        <w:t> </w:t>
      </w:r>
      <w:r>
        <w:rPr>
          <w:b/>
          <w:sz w:val="24"/>
        </w:rPr>
        <w:t>MUE</w:t>
      </w:r>
      <w:r>
        <w:rPr>
          <w:b/>
          <w:spacing w:val="80"/>
          <w:sz w:val="24"/>
        </w:rPr>
        <w:t> </w:t>
      </w:r>
      <w:r>
        <w:rPr>
          <w:b/>
          <w:sz w:val="24"/>
        </w:rPr>
        <w:t>à</w:t>
      </w:r>
      <w:r>
        <w:rPr>
          <w:b/>
          <w:spacing w:val="80"/>
          <w:sz w:val="24"/>
        </w:rPr>
        <w:t> </w:t>
      </w:r>
      <w:r>
        <w:rPr>
          <w:b/>
          <w:sz w:val="24"/>
        </w:rPr>
        <w:t>supporter</w:t>
      </w:r>
      <w:r>
        <w:rPr>
          <w:b/>
          <w:spacing w:val="80"/>
          <w:sz w:val="24"/>
        </w:rPr>
        <w:t> </w:t>
      </w:r>
      <w:r>
        <w:rPr>
          <w:b/>
          <w:sz w:val="24"/>
        </w:rPr>
        <w:t>les</w:t>
      </w:r>
      <w:r>
        <w:rPr>
          <w:b/>
          <w:spacing w:val="80"/>
          <w:sz w:val="24"/>
        </w:rPr>
        <w:t> </w:t>
      </w:r>
      <w:r>
        <w:rPr>
          <w:b/>
          <w:sz w:val="24"/>
        </w:rPr>
        <w:t>frais</w:t>
      </w:r>
      <w:r>
        <w:rPr>
          <w:b/>
          <w:spacing w:val="80"/>
          <w:sz w:val="24"/>
        </w:rPr>
        <w:t> </w:t>
      </w:r>
      <w:r>
        <w:rPr>
          <w:b/>
          <w:sz w:val="24"/>
        </w:rPr>
        <w:t>exposés</w:t>
      </w:r>
      <w:r>
        <w:rPr>
          <w:b/>
          <w:spacing w:val="80"/>
          <w:sz w:val="24"/>
        </w:rPr>
        <w:t> </w:t>
      </w:r>
      <w:r>
        <w:rPr>
          <w:b/>
          <w:sz w:val="24"/>
        </w:rPr>
        <w:t>par</w:t>
      </w:r>
      <w:r>
        <w:rPr>
          <w:b/>
          <w:spacing w:val="79"/>
          <w:sz w:val="24"/>
        </w:rPr>
        <w:t> </w:t>
      </w:r>
      <w:r>
        <w:rPr>
          <w:b/>
          <w:sz w:val="24"/>
        </w:rPr>
        <w:t>le demandeur en nullité aux fins de la procédure de recours, fixés à 550 EUR.</w:t>
      </w:r>
    </w:p>
    <w:p>
      <w:pPr>
        <w:pStyle w:val="ListParagraph"/>
        <w:numPr>
          <w:ilvl w:val="0"/>
          <w:numId w:val="3"/>
        </w:numPr>
        <w:tabs>
          <w:tab w:pos="1156" w:val="left" w:leader="none"/>
        </w:tabs>
        <w:spacing w:line="240" w:lineRule="auto" w:before="240" w:after="0"/>
        <w:ind w:left="1156" w:right="169" w:hanging="425"/>
        <w:jc w:val="left"/>
        <w:rPr>
          <w:b/>
          <w:sz w:val="24"/>
        </w:rPr>
      </w:pPr>
      <w:r>
        <w:rPr>
          <w:b/>
          <w:sz w:val="24"/>
        </w:rPr>
        <w:t>Dit</w:t>
      </w:r>
      <w:r>
        <w:rPr>
          <w:b/>
          <w:spacing w:val="80"/>
          <w:sz w:val="24"/>
        </w:rPr>
        <w:t> </w:t>
      </w:r>
      <w:r>
        <w:rPr>
          <w:b/>
          <w:sz w:val="24"/>
        </w:rPr>
        <w:t>que</w:t>
      </w:r>
      <w:r>
        <w:rPr>
          <w:b/>
          <w:spacing w:val="80"/>
          <w:sz w:val="24"/>
        </w:rPr>
        <w:t> </w:t>
      </w:r>
      <w:r>
        <w:rPr>
          <w:b/>
          <w:sz w:val="24"/>
        </w:rPr>
        <w:t>la</w:t>
      </w:r>
      <w:r>
        <w:rPr>
          <w:b/>
          <w:spacing w:val="80"/>
          <w:sz w:val="24"/>
        </w:rPr>
        <w:t> </w:t>
      </w:r>
      <w:r>
        <w:rPr>
          <w:b/>
          <w:sz w:val="24"/>
        </w:rPr>
        <w:t>répartition</w:t>
      </w:r>
      <w:r>
        <w:rPr>
          <w:b/>
          <w:spacing w:val="80"/>
          <w:sz w:val="24"/>
        </w:rPr>
        <w:t> </w:t>
      </w:r>
      <w:r>
        <w:rPr>
          <w:b/>
          <w:sz w:val="24"/>
        </w:rPr>
        <w:t>des</w:t>
      </w:r>
      <w:r>
        <w:rPr>
          <w:b/>
          <w:spacing w:val="80"/>
          <w:sz w:val="24"/>
        </w:rPr>
        <w:t> </w:t>
      </w:r>
      <w:r>
        <w:rPr>
          <w:b/>
          <w:sz w:val="24"/>
        </w:rPr>
        <w:t>frais</w:t>
      </w:r>
      <w:r>
        <w:rPr>
          <w:b/>
          <w:spacing w:val="80"/>
          <w:sz w:val="24"/>
        </w:rPr>
        <w:t> </w:t>
      </w:r>
      <w:r>
        <w:rPr>
          <w:b/>
          <w:sz w:val="24"/>
        </w:rPr>
        <w:t>arrêtée</w:t>
      </w:r>
      <w:r>
        <w:rPr>
          <w:b/>
          <w:spacing w:val="80"/>
          <w:sz w:val="24"/>
        </w:rPr>
        <w:t> </w:t>
      </w:r>
      <w:r>
        <w:rPr>
          <w:b/>
          <w:sz w:val="24"/>
        </w:rPr>
        <w:t>dans</w:t>
      </w:r>
      <w:r>
        <w:rPr>
          <w:b/>
          <w:spacing w:val="80"/>
          <w:sz w:val="24"/>
        </w:rPr>
        <w:t> </w:t>
      </w:r>
      <w:r>
        <w:rPr>
          <w:b/>
          <w:sz w:val="24"/>
        </w:rPr>
        <w:t>la</w:t>
      </w:r>
      <w:r>
        <w:rPr>
          <w:b/>
          <w:spacing w:val="80"/>
          <w:sz w:val="24"/>
        </w:rPr>
        <w:t> </w:t>
      </w:r>
      <w:r>
        <w:rPr>
          <w:b/>
          <w:sz w:val="24"/>
        </w:rPr>
        <w:t>décision</w:t>
      </w:r>
      <w:r>
        <w:rPr>
          <w:b/>
          <w:spacing w:val="80"/>
          <w:sz w:val="24"/>
        </w:rPr>
        <w:t> </w:t>
      </w:r>
      <w:r>
        <w:rPr>
          <w:b/>
          <w:sz w:val="24"/>
        </w:rPr>
        <w:t>attaquée</w:t>
      </w:r>
      <w:r>
        <w:rPr>
          <w:b/>
          <w:spacing w:val="80"/>
          <w:sz w:val="24"/>
        </w:rPr>
        <w:t> </w:t>
      </w:r>
      <w:r>
        <w:rPr>
          <w:b/>
          <w:sz w:val="24"/>
        </w:rPr>
        <w:t>reste </w:t>
      </w:r>
      <w:r>
        <w:rPr>
          <w:b/>
          <w:spacing w:val="-2"/>
          <w:sz w:val="24"/>
        </w:rPr>
        <w:t>inchangée.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0" w:after="1"/>
        <w:rPr>
          <w:b/>
          <w:sz w:val="20"/>
        </w:rPr>
      </w:pPr>
    </w:p>
    <w:tbl>
      <w:tblPr>
        <w:tblW w:w="0" w:type="auto"/>
        <w:jc w:val="left"/>
        <w:tblInd w:w="1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4"/>
        <w:gridCol w:w="2979"/>
        <w:gridCol w:w="2104"/>
      </w:tblGrid>
      <w:tr>
        <w:trPr>
          <w:trHeight w:val="817" w:hRule="atLeast"/>
        </w:trPr>
        <w:tc>
          <w:tcPr>
            <w:tcW w:w="2014" w:type="dxa"/>
          </w:tcPr>
          <w:p>
            <w:pPr>
              <w:pStyle w:val="TableParagraph"/>
              <w:spacing w:line="266" w:lineRule="exact"/>
              <w:ind w:left="50"/>
              <w:rPr>
                <w:sz w:val="24"/>
              </w:rPr>
            </w:pPr>
            <w:r>
              <w:rPr>
                <w:spacing w:val="-2"/>
                <w:sz w:val="24"/>
              </w:rPr>
              <w:t>Signature</w:t>
            </w:r>
          </w:p>
          <w:p>
            <w:pPr>
              <w:pStyle w:val="TableParagraph"/>
              <w:rPr>
                <w:b/>
                <w:sz w:val="24"/>
              </w:rPr>
            </w:pPr>
          </w:p>
          <w:p>
            <w:pPr>
              <w:pStyle w:val="TableParagraph"/>
              <w:spacing w:line="256" w:lineRule="exact"/>
              <w:ind w:left="83"/>
              <w:rPr>
                <w:sz w:val="24"/>
              </w:rPr>
            </w:pPr>
            <w:r>
              <w:rPr>
                <w:sz w:val="24"/>
              </w:rPr>
              <w:t>H. </w:t>
            </w:r>
            <w:r>
              <w:rPr>
                <w:spacing w:val="-2"/>
                <w:sz w:val="24"/>
              </w:rPr>
              <w:t>Salmi</w:t>
            </w:r>
          </w:p>
        </w:tc>
        <w:tc>
          <w:tcPr>
            <w:tcW w:w="2979" w:type="dxa"/>
          </w:tcPr>
          <w:p>
            <w:pPr>
              <w:pStyle w:val="TableParagraph"/>
              <w:spacing w:line="266" w:lineRule="exact"/>
              <w:ind w:left="31"/>
              <w:jc w:val="center"/>
              <w:rPr>
                <w:sz w:val="24"/>
              </w:rPr>
            </w:pPr>
            <w:r>
              <w:rPr>
                <w:spacing w:val="-2"/>
                <w:sz w:val="24"/>
              </w:rPr>
              <w:t>Signature</w:t>
            </w:r>
          </w:p>
          <w:p>
            <w:pPr>
              <w:pStyle w:val="TableParagraph"/>
              <w:rPr>
                <w:b/>
                <w:sz w:val="24"/>
              </w:rPr>
            </w:pPr>
          </w:p>
          <w:p>
            <w:pPr>
              <w:pStyle w:val="TableParagraph"/>
              <w:spacing w:line="256" w:lineRule="exact"/>
              <w:ind w:left="1065"/>
              <w:rPr>
                <w:sz w:val="24"/>
              </w:rPr>
            </w:pPr>
            <w:r>
              <w:rPr>
                <w:sz w:val="24"/>
              </w:rPr>
              <w:t>C. </w:t>
            </w:r>
            <w:r>
              <w:rPr>
                <w:spacing w:val="-2"/>
                <w:sz w:val="24"/>
              </w:rPr>
              <w:t>Negro</w:t>
            </w:r>
          </w:p>
        </w:tc>
        <w:tc>
          <w:tcPr>
            <w:tcW w:w="2104" w:type="dxa"/>
          </w:tcPr>
          <w:p>
            <w:pPr>
              <w:pStyle w:val="TableParagraph"/>
              <w:spacing w:line="266" w:lineRule="exact"/>
              <w:ind w:left="1074"/>
              <w:rPr>
                <w:sz w:val="24"/>
              </w:rPr>
            </w:pPr>
            <w:r>
              <w:rPr>
                <w:spacing w:val="-2"/>
                <w:sz w:val="24"/>
              </w:rPr>
              <w:t>Signature</w:t>
            </w:r>
          </w:p>
          <w:p>
            <w:pPr>
              <w:pStyle w:val="TableParagraph"/>
              <w:rPr>
                <w:b/>
                <w:sz w:val="24"/>
              </w:rPr>
            </w:pPr>
          </w:p>
          <w:p>
            <w:pPr>
              <w:pStyle w:val="TableParagraph"/>
              <w:spacing w:line="256" w:lineRule="exact"/>
              <w:ind w:left="1014"/>
              <w:rPr>
                <w:sz w:val="24"/>
              </w:rPr>
            </w:pPr>
            <w:r>
              <w:rPr>
                <w:sz w:val="24"/>
              </w:rPr>
              <w:t>K.</w:t>
            </w:r>
            <w:r>
              <w:rPr>
                <w:spacing w:val="-2"/>
                <w:sz w:val="24"/>
              </w:rPr>
              <w:t> Guzdek</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9"/>
        <w:rPr>
          <w:b/>
          <w:sz w:val="20"/>
        </w:rPr>
      </w:pPr>
    </w:p>
    <w:tbl>
      <w:tblPr>
        <w:tblW w:w="0" w:type="auto"/>
        <w:jc w:val="left"/>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1"/>
        <w:gridCol w:w="1923"/>
      </w:tblGrid>
      <w:tr>
        <w:trPr>
          <w:trHeight w:val="1713" w:hRule="atLeast"/>
        </w:trPr>
        <w:tc>
          <w:tcPr>
            <w:tcW w:w="1921" w:type="dxa"/>
          </w:tcPr>
          <w:p>
            <w:pPr>
              <w:pStyle w:val="TableParagraph"/>
              <w:spacing w:line="480" w:lineRule="auto"/>
              <w:ind w:left="333" w:right="666" w:firstLine="40"/>
              <w:rPr>
                <w:sz w:val="24"/>
              </w:rPr>
            </w:pPr>
            <w:r>
              <w:rPr>
                <w:spacing w:val="-2"/>
                <w:sz w:val="24"/>
              </w:rPr>
              <w:t>Greffier: Signature</w:t>
            </w:r>
          </w:p>
          <w:p>
            <w:pPr>
              <w:pStyle w:val="TableParagraph"/>
              <w:ind w:left="50"/>
              <w:rPr>
                <w:sz w:val="24"/>
              </w:rPr>
            </w:pPr>
            <w:r>
              <w:rPr>
                <w:sz w:val="24"/>
              </w:rPr>
              <w:t>P.O.</w:t>
            </w:r>
            <w:r>
              <w:rPr>
                <w:spacing w:val="-2"/>
                <w:sz w:val="24"/>
              </w:rPr>
              <w:t> </w:t>
            </w:r>
            <w:r>
              <w:rPr>
                <w:sz w:val="24"/>
              </w:rPr>
              <w:t>L.</w:t>
            </w:r>
            <w:r>
              <w:rPr>
                <w:spacing w:val="-1"/>
                <w:sz w:val="24"/>
              </w:rPr>
              <w:t> </w:t>
            </w:r>
            <w:r>
              <w:rPr>
                <w:spacing w:val="-2"/>
                <w:sz w:val="24"/>
              </w:rPr>
              <w:t>Benítez</w:t>
            </w:r>
          </w:p>
        </w:tc>
        <w:tc>
          <w:tcPr>
            <w:tcW w:w="1923" w:type="dxa"/>
          </w:tcPr>
          <w:p>
            <w:pPr>
              <w:pStyle w:val="TableParagraph"/>
              <w:spacing w:before="10"/>
              <w:rPr>
                <w:b/>
                <w:sz w:val="19"/>
              </w:rPr>
            </w:pPr>
          </w:p>
          <w:p>
            <w:pPr>
              <w:pStyle w:val="TableParagraph"/>
              <w:ind w:left="387"/>
              <w:rPr>
                <w:sz w:val="20"/>
              </w:rPr>
            </w:pPr>
            <w:r>
              <w:rPr>
                <w:sz w:val="20"/>
              </w:rPr>
              <w:drawing>
                <wp:inline distT="0" distB="0" distL="0" distR="0">
                  <wp:extent cx="923925" cy="923925"/>
                  <wp:effectExtent l="0" t="0" r="0" b="0"/>
                  <wp:docPr id="52" name="Image 52" descr="Registrar Logo Image"/>
                  <wp:cNvGraphicFramePr>
                    <a:graphicFrameLocks/>
                  </wp:cNvGraphicFramePr>
                  <a:graphic>
                    <a:graphicData uri="http://schemas.openxmlformats.org/drawingml/2006/picture">
                      <pic:pic>
                        <pic:nvPicPr>
                          <pic:cNvPr id="52" name="Image 52" descr="Registrar Logo Image"/>
                          <pic:cNvPicPr/>
                        </pic:nvPicPr>
                        <pic:blipFill>
                          <a:blip r:embed="rId31" cstate="print"/>
                          <a:stretch>
                            <a:fillRect/>
                          </a:stretch>
                        </pic:blipFill>
                        <pic:spPr>
                          <a:xfrm>
                            <a:off x="0" y="0"/>
                            <a:ext cx="923925" cy="923925"/>
                          </a:xfrm>
                          <a:prstGeom prst="rect">
                            <a:avLst/>
                          </a:prstGeom>
                        </pic:spPr>
                      </pic:pic>
                    </a:graphicData>
                  </a:graphic>
                </wp:inline>
              </w:drawing>
            </w:r>
            <w:r>
              <w:rPr>
                <w:sz w:val="20"/>
              </w:rPr>
            </w:r>
          </w:p>
        </w:tc>
      </w:tr>
    </w:tbl>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70"/>
        <w:rPr>
          <w:b/>
          <w:sz w:val="18"/>
        </w:rPr>
      </w:pPr>
    </w:p>
    <w:p>
      <w:pPr>
        <w:spacing w:before="0"/>
        <w:ind w:left="2776" w:right="2776" w:firstLine="0"/>
        <w:jc w:val="center"/>
        <w:rPr>
          <w:sz w:val="18"/>
        </w:rPr>
      </w:pPr>
      <w:r>
        <w:rPr>
          <w:sz w:val="18"/>
        </w:rPr>
        <w:t>22/04/2025,</w:t>
      </w:r>
      <w:r>
        <w:rPr>
          <w:spacing w:val="-1"/>
          <w:sz w:val="18"/>
        </w:rPr>
        <w:t> </w:t>
      </w:r>
      <w:r>
        <w:rPr>
          <w:sz w:val="18"/>
        </w:rPr>
        <w:t>R</w:t>
      </w:r>
      <w:r>
        <w:rPr>
          <w:spacing w:val="-3"/>
          <w:sz w:val="18"/>
        </w:rPr>
        <w:t> </w:t>
      </w:r>
      <w:r>
        <w:rPr>
          <w:sz w:val="18"/>
        </w:rPr>
        <w:t>1740/2024-2, </w:t>
      </w:r>
      <w:r>
        <w:rPr>
          <w:spacing w:val="-2"/>
          <w:sz w:val="18"/>
        </w:rPr>
        <w:t>WONDERGIRL</w:t>
      </w:r>
    </w:p>
    <w:sectPr>
      <w:pgSz w:w="11910" w:h="16840"/>
      <w:pgMar w:header="969" w:footer="0" w:top="122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18688">
              <wp:simplePos x="0" y="0"/>
              <wp:positionH relativeFrom="page">
                <wp:posOffset>3691254</wp:posOffset>
              </wp:positionH>
              <wp:positionV relativeFrom="page">
                <wp:posOffset>602826</wp:posOffset>
              </wp:positionV>
              <wp:extent cx="1778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78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0.649994pt;margin-top:47.466625pt;width:14pt;height:15.3pt;mso-position-horizontal-relative:page;mso-position-vertical-relative:page;z-index:-16097792" type="#_x0000_t202" id="docshape4"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59" w:hanging="428"/>
        <w:jc w:val="left"/>
      </w:pPr>
      <w:rPr>
        <w:rFonts w:hint="default" w:ascii="Times New Roman" w:hAnsi="Times New Roman" w:eastAsia="Times New Roman" w:cs="Times New Roman"/>
        <w:b/>
        <w:bCs/>
        <w:i w:val="0"/>
        <w:iCs w:val="0"/>
        <w:spacing w:val="0"/>
        <w:w w:val="100"/>
        <w:sz w:val="24"/>
        <w:szCs w:val="24"/>
        <w:lang w:val="fr-FR" w:eastAsia="en-US" w:bidi="ar-SA"/>
      </w:rPr>
    </w:lvl>
    <w:lvl w:ilvl="1">
      <w:start w:val="0"/>
      <w:numFmt w:val="bullet"/>
      <w:lvlText w:val="•"/>
      <w:lvlJc w:val="left"/>
      <w:pPr>
        <w:ind w:left="1979" w:hanging="428"/>
      </w:pPr>
      <w:rPr>
        <w:rFonts w:hint="default"/>
        <w:lang w:val="fr-FR" w:eastAsia="en-US" w:bidi="ar-SA"/>
      </w:rPr>
    </w:lvl>
    <w:lvl w:ilvl="2">
      <w:start w:val="0"/>
      <w:numFmt w:val="bullet"/>
      <w:lvlText w:val="•"/>
      <w:lvlJc w:val="left"/>
      <w:pPr>
        <w:ind w:left="2799" w:hanging="428"/>
      </w:pPr>
      <w:rPr>
        <w:rFonts w:hint="default"/>
        <w:lang w:val="fr-FR" w:eastAsia="en-US" w:bidi="ar-SA"/>
      </w:rPr>
    </w:lvl>
    <w:lvl w:ilvl="3">
      <w:start w:val="0"/>
      <w:numFmt w:val="bullet"/>
      <w:lvlText w:val="•"/>
      <w:lvlJc w:val="left"/>
      <w:pPr>
        <w:ind w:left="3618" w:hanging="428"/>
      </w:pPr>
      <w:rPr>
        <w:rFonts w:hint="default"/>
        <w:lang w:val="fr-FR" w:eastAsia="en-US" w:bidi="ar-SA"/>
      </w:rPr>
    </w:lvl>
    <w:lvl w:ilvl="4">
      <w:start w:val="0"/>
      <w:numFmt w:val="bullet"/>
      <w:lvlText w:val="•"/>
      <w:lvlJc w:val="left"/>
      <w:pPr>
        <w:ind w:left="4438" w:hanging="428"/>
      </w:pPr>
      <w:rPr>
        <w:rFonts w:hint="default"/>
        <w:lang w:val="fr-FR" w:eastAsia="en-US" w:bidi="ar-SA"/>
      </w:rPr>
    </w:lvl>
    <w:lvl w:ilvl="5">
      <w:start w:val="0"/>
      <w:numFmt w:val="bullet"/>
      <w:lvlText w:val="•"/>
      <w:lvlJc w:val="left"/>
      <w:pPr>
        <w:ind w:left="5258" w:hanging="428"/>
      </w:pPr>
      <w:rPr>
        <w:rFonts w:hint="default"/>
        <w:lang w:val="fr-FR" w:eastAsia="en-US" w:bidi="ar-SA"/>
      </w:rPr>
    </w:lvl>
    <w:lvl w:ilvl="6">
      <w:start w:val="0"/>
      <w:numFmt w:val="bullet"/>
      <w:lvlText w:val="•"/>
      <w:lvlJc w:val="left"/>
      <w:pPr>
        <w:ind w:left="6077" w:hanging="428"/>
      </w:pPr>
      <w:rPr>
        <w:rFonts w:hint="default"/>
        <w:lang w:val="fr-FR" w:eastAsia="en-US" w:bidi="ar-SA"/>
      </w:rPr>
    </w:lvl>
    <w:lvl w:ilvl="7">
      <w:start w:val="0"/>
      <w:numFmt w:val="bullet"/>
      <w:lvlText w:val="•"/>
      <w:lvlJc w:val="left"/>
      <w:pPr>
        <w:ind w:left="6897" w:hanging="428"/>
      </w:pPr>
      <w:rPr>
        <w:rFonts w:hint="default"/>
        <w:lang w:val="fr-FR" w:eastAsia="en-US" w:bidi="ar-SA"/>
      </w:rPr>
    </w:lvl>
    <w:lvl w:ilvl="8">
      <w:start w:val="0"/>
      <w:numFmt w:val="bullet"/>
      <w:lvlText w:val="•"/>
      <w:lvlJc w:val="left"/>
      <w:pPr>
        <w:ind w:left="7717" w:hanging="428"/>
      </w:pPr>
      <w:rPr>
        <w:rFonts w:hint="default"/>
        <w:lang w:val="fr-FR" w:eastAsia="en-US" w:bidi="ar-SA"/>
      </w:rPr>
    </w:lvl>
  </w:abstractNum>
  <w:abstractNum w:abstractNumId="1">
    <w:multiLevelType w:val="hybridMultilevel"/>
    <w:lvl w:ilvl="0">
      <w:start w:val="1"/>
      <w:numFmt w:val="lowerLetter"/>
      <w:lvlText w:val="%1)"/>
      <w:lvlJc w:val="left"/>
      <w:pPr>
        <w:ind w:left="977" w:hanging="246"/>
        <w:jc w:val="left"/>
      </w:pPr>
      <w:rPr>
        <w:rFonts w:hint="default" w:ascii="Times New Roman" w:hAnsi="Times New Roman" w:eastAsia="Times New Roman" w:cs="Times New Roman"/>
        <w:b w:val="0"/>
        <w:bCs w:val="0"/>
        <w:i w:val="0"/>
        <w:iCs w:val="0"/>
        <w:spacing w:val="-1"/>
        <w:w w:val="100"/>
        <w:sz w:val="24"/>
        <w:szCs w:val="24"/>
        <w:lang w:val="fr-FR" w:eastAsia="en-US" w:bidi="ar-SA"/>
      </w:rPr>
    </w:lvl>
    <w:lvl w:ilvl="1">
      <w:start w:val="0"/>
      <w:numFmt w:val="bullet"/>
      <w:lvlText w:val="•"/>
      <w:lvlJc w:val="left"/>
      <w:pPr>
        <w:ind w:left="1817" w:hanging="246"/>
      </w:pPr>
      <w:rPr>
        <w:rFonts w:hint="default"/>
        <w:lang w:val="fr-FR" w:eastAsia="en-US" w:bidi="ar-SA"/>
      </w:rPr>
    </w:lvl>
    <w:lvl w:ilvl="2">
      <w:start w:val="0"/>
      <w:numFmt w:val="bullet"/>
      <w:lvlText w:val="•"/>
      <w:lvlJc w:val="left"/>
      <w:pPr>
        <w:ind w:left="2655" w:hanging="246"/>
      </w:pPr>
      <w:rPr>
        <w:rFonts w:hint="default"/>
        <w:lang w:val="fr-FR" w:eastAsia="en-US" w:bidi="ar-SA"/>
      </w:rPr>
    </w:lvl>
    <w:lvl w:ilvl="3">
      <w:start w:val="0"/>
      <w:numFmt w:val="bullet"/>
      <w:lvlText w:val="•"/>
      <w:lvlJc w:val="left"/>
      <w:pPr>
        <w:ind w:left="3492" w:hanging="246"/>
      </w:pPr>
      <w:rPr>
        <w:rFonts w:hint="default"/>
        <w:lang w:val="fr-FR" w:eastAsia="en-US" w:bidi="ar-SA"/>
      </w:rPr>
    </w:lvl>
    <w:lvl w:ilvl="4">
      <w:start w:val="0"/>
      <w:numFmt w:val="bullet"/>
      <w:lvlText w:val="•"/>
      <w:lvlJc w:val="left"/>
      <w:pPr>
        <w:ind w:left="4330" w:hanging="246"/>
      </w:pPr>
      <w:rPr>
        <w:rFonts w:hint="default"/>
        <w:lang w:val="fr-FR" w:eastAsia="en-US" w:bidi="ar-SA"/>
      </w:rPr>
    </w:lvl>
    <w:lvl w:ilvl="5">
      <w:start w:val="0"/>
      <w:numFmt w:val="bullet"/>
      <w:lvlText w:val="•"/>
      <w:lvlJc w:val="left"/>
      <w:pPr>
        <w:ind w:left="5168" w:hanging="246"/>
      </w:pPr>
      <w:rPr>
        <w:rFonts w:hint="default"/>
        <w:lang w:val="fr-FR" w:eastAsia="en-US" w:bidi="ar-SA"/>
      </w:rPr>
    </w:lvl>
    <w:lvl w:ilvl="6">
      <w:start w:val="0"/>
      <w:numFmt w:val="bullet"/>
      <w:lvlText w:val="•"/>
      <w:lvlJc w:val="left"/>
      <w:pPr>
        <w:ind w:left="6005" w:hanging="246"/>
      </w:pPr>
      <w:rPr>
        <w:rFonts w:hint="default"/>
        <w:lang w:val="fr-FR" w:eastAsia="en-US" w:bidi="ar-SA"/>
      </w:rPr>
    </w:lvl>
    <w:lvl w:ilvl="7">
      <w:start w:val="0"/>
      <w:numFmt w:val="bullet"/>
      <w:lvlText w:val="•"/>
      <w:lvlJc w:val="left"/>
      <w:pPr>
        <w:ind w:left="6843" w:hanging="246"/>
      </w:pPr>
      <w:rPr>
        <w:rFonts w:hint="default"/>
        <w:lang w:val="fr-FR" w:eastAsia="en-US" w:bidi="ar-SA"/>
      </w:rPr>
    </w:lvl>
    <w:lvl w:ilvl="8">
      <w:start w:val="0"/>
      <w:numFmt w:val="bullet"/>
      <w:lvlText w:val="•"/>
      <w:lvlJc w:val="left"/>
      <w:pPr>
        <w:ind w:left="7681" w:hanging="246"/>
      </w:pPr>
      <w:rPr>
        <w:rFonts w:hint="default"/>
        <w:lang w:val="fr-FR" w:eastAsia="en-US" w:bidi="ar-SA"/>
      </w:rPr>
    </w:lvl>
  </w:abstractNum>
  <w:abstractNum w:abstractNumId="0">
    <w:multiLevelType w:val="hybridMultilevel"/>
    <w:lvl w:ilvl="0">
      <w:start w:val="1"/>
      <w:numFmt w:val="decimal"/>
      <w:lvlText w:val="%1"/>
      <w:lvlJc w:val="left"/>
      <w:pPr>
        <w:ind w:left="731" w:hanging="567"/>
        <w:jc w:val="left"/>
      </w:pPr>
      <w:rPr>
        <w:rFonts w:hint="default" w:ascii="Times New Roman" w:hAnsi="Times New Roman" w:eastAsia="Times New Roman" w:cs="Times New Roman"/>
        <w:b w:val="0"/>
        <w:bCs w:val="0"/>
        <w:i w:val="0"/>
        <w:iCs w:val="0"/>
        <w:spacing w:val="0"/>
        <w:w w:val="100"/>
        <w:sz w:val="24"/>
        <w:szCs w:val="24"/>
        <w:lang w:val="fr-FR" w:eastAsia="en-US" w:bidi="ar-SA"/>
      </w:rPr>
    </w:lvl>
    <w:lvl w:ilvl="1">
      <w:start w:val="0"/>
      <w:numFmt w:val="bullet"/>
      <w:lvlText w:val=""/>
      <w:lvlJc w:val="left"/>
      <w:pPr>
        <w:ind w:left="1298" w:hanging="567"/>
      </w:pPr>
      <w:rPr>
        <w:rFonts w:hint="default" w:ascii="Symbol" w:hAnsi="Symbol" w:eastAsia="Symbol" w:cs="Symbol"/>
        <w:b w:val="0"/>
        <w:bCs w:val="0"/>
        <w:i w:val="0"/>
        <w:iCs w:val="0"/>
        <w:spacing w:val="0"/>
        <w:w w:val="100"/>
        <w:sz w:val="24"/>
        <w:szCs w:val="24"/>
        <w:lang w:val="fr-FR" w:eastAsia="en-US" w:bidi="ar-SA"/>
      </w:rPr>
    </w:lvl>
    <w:lvl w:ilvl="2">
      <w:start w:val="0"/>
      <w:numFmt w:val="bullet"/>
      <w:lvlText w:val="•"/>
      <w:lvlJc w:val="left"/>
      <w:pPr>
        <w:ind w:left="2195" w:hanging="567"/>
      </w:pPr>
      <w:rPr>
        <w:rFonts w:hint="default"/>
        <w:lang w:val="fr-FR" w:eastAsia="en-US" w:bidi="ar-SA"/>
      </w:rPr>
    </w:lvl>
    <w:lvl w:ilvl="3">
      <w:start w:val="0"/>
      <w:numFmt w:val="bullet"/>
      <w:lvlText w:val="•"/>
      <w:lvlJc w:val="left"/>
      <w:pPr>
        <w:ind w:left="3090" w:hanging="567"/>
      </w:pPr>
      <w:rPr>
        <w:rFonts w:hint="default"/>
        <w:lang w:val="fr-FR" w:eastAsia="en-US" w:bidi="ar-SA"/>
      </w:rPr>
    </w:lvl>
    <w:lvl w:ilvl="4">
      <w:start w:val="0"/>
      <w:numFmt w:val="bullet"/>
      <w:lvlText w:val="•"/>
      <w:lvlJc w:val="left"/>
      <w:pPr>
        <w:ind w:left="3985" w:hanging="567"/>
      </w:pPr>
      <w:rPr>
        <w:rFonts w:hint="default"/>
        <w:lang w:val="fr-FR" w:eastAsia="en-US" w:bidi="ar-SA"/>
      </w:rPr>
    </w:lvl>
    <w:lvl w:ilvl="5">
      <w:start w:val="0"/>
      <w:numFmt w:val="bullet"/>
      <w:lvlText w:val="•"/>
      <w:lvlJc w:val="left"/>
      <w:pPr>
        <w:ind w:left="4880" w:hanging="567"/>
      </w:pPr>
      <w:rPr>
        <w:rFonts w:hint="default"/>
        <w:lang w:val="fr-FR" w:eastAsia="en-US" w:bidi="ar-SA"/>
      </w:rPr>
    </w:lvl>
    <w:lvl w:ilvl="6">
      <w:start w:val="0"/>
      <w:numFmt w:val="bullet"/>
      <w:lvlText w:val="•"/>
      <w:lvlJc w:val="left"/>
      <w:pPr>
        <w:ind w:left="5775" w:hanging="567"/>
      </w:pPr>
      <w:rPr>
        <w:rFonts w:hint="default"/>
        <w:lang w:val="fr-FR" w:eastAsia="en-US" w:bidi="ar-SA"/>
      </w:rPr>
    </w:lvl>
    <w:lvl w:ilvl="7">
      <w:start w:val="0"/>
      <w:numFmt w:val="bullet"/>
      <w:lvlText w:val="•"/>
      <w:lvlJc w:val="left"/>
      <w:pPr>
        <w:ind w:left="6670" w:hanging="567"/>
      </w:pPr>
      <w:rPr>
        <w:rFonts w:hint="default"/>
        <w:lang w:val="fr-FR" w:eastAsia="en-US" w:bidi="ar-SA"/>
      </w:rPr>
    </w:lvl>
    <w:lvl w:ilvl="8">
      <w:start w:val="0"/>
      <w:numFmt w:val="bullet"/>
      <w:lvlText w:val="•"/>
      <w:lvlJc w:val="left"/>
      <w:pPr>
        <w:ind w:left="7566" w:hanging="567"/>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ListParagraph" w:type="paragraph">
    <w:name w:val="List Paragraph"/>
    <w:basedOn w:val="Normal"/>
    <w:uiPriority w:val="1"/>
    <w:qFormat/>
    <w:pPr>
      <w:spacing w:before="240"/>
      <w:ind w:left="731" w:right="163" w:hanging="567"/>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hyperlink" Target="https://www.ohchr.org/en/ohchr_homepage" TargetMode="External"/><Relationship Id="rId20" Type="http://schemas.openxmlformats.org/officeDocument/2006/relationships/hyperlink" Target="https://www.copenhagenstudios.com/shop/men/" TargetMode="External"/><Relationship Id="rId21" Type="http://schemas.openxmlformats.org/officeDocument/2006/relationships/hyperlink" Target="http://www.copenhagenstudios.com/shop/men/" TargetMode="External"/><Relationship Id="rId22" Type="http://schemas.openxmlformats.org/officeDocument/2006/relationships/hyperlink" Target="https://www.copenhagenstudios.com/shop/women/" TargetMode="External"/><Relationship Id="rId23" Type="http://schemas.openxmlformats.org/officeDocument/2006/relationships/hyperlink" Target="http://www.copenhagenstudios.com/shop/women/%2Cconsult&#233;" TargetMode="External"/><Relationship Id="rId24" Type="http://schemas.openxmlformats.org/officeDocument/2006/relationships/image" Target="media/image14.jpeg"/><Relationship Id="rId25" Type="http://schemas.openxmlformats.org/officeDocument/2006/relationships/hyperlink" Target="https://www.collinsdictionary.com/dictionary/english/wonder-girl" TargetMode="External"/><Relationship Id="rId26" Type="http://schemas.openxmlformats.org/officeDocument/2006/relationships/hyperlink" Target="http://www.copenhagenstudios.com/" TargetMode="External"/><Relationship Id="rId27" Type="http://schemas.openxmlformats.org/officeDocument/2006/relationships/hyperlink" Target="https://www.copenhagenstudios.com/" TargetMode="External"/><Relationship Id="rId28" Type="http://schemas.openxmlformats.org/officeDocument/2006/relationships/hyperlink" Target="http://www.copenhagenstudios.com/shop/women/)" TargetMode="External"/><Relationship Id="rId29" Type="http://schemas.openxmlformats.org/officeDocument/2006/relationships/image" Target="media/image15.jpeg"/><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1740-2024-2_BoA Decision.docx</dc:title>
  <dcterms:created xsi:type="dcterms:W3CDTF">2025-06-12T09:54:21Z</dcterms:created>
  <dcterms:modified xsi:type="dcterms:W3CDTF">2025-06-12T09:54:21Z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 2019</vt:lpwstr>
  </property>
  <property fmtid="{D5CDD505-2E9C-101B-9397-08002B2CF9AE}" pid="4" name="LastSaved">
    <vt:filetime>2025-06-12T00:00:00Z</vt:filetime>
  </property>
  <property fmtid="{D5CDD505-2E9C-101B-9397-08002B2CF9AE}" pid="5" name="Producer">
    <vt:lpwstr>Microsoft® Word 2019; modified using iText® 5.4.4 ©2000-2013 1T3XT BVBA (AGPL-version)</vt:lpwstr>
  </property>
</Properties>
</file>